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洛隆县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2019年水利工程运行与维护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补助项目</w:t>
      </w:r>
      <w:r>
        <w:rPr>
          <w:rFonts w:hint="eastAsia"/>
          <w:sz w:val="44"/>
          <w:szCs w:val="44"/>
        </w:rPr>
        <w:t>工程项目比选公告</w:t>
      </w:r>
    </w:p>
    <w:p>
      <w:pPr>
        <w:jc w:val="center"/>
        <w:rPr>
          <w:rFonts w:hint="eastAsia"/>
        </w:rPr>
      </w:pPr>
      <w:r>
        <w:rPr>
          <w:rFonts w:hint="eastAsia"/>
        </w:rPr>
        <w:t>(选用施工单位)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LLSLBS-2019-001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发布时间: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截止时间: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项目代码: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LLSL-001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：昌都市洛隆县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本项目经昌都市洛隆县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u w:val="single"/>
        </w:rPr>
        <w:t>藏洛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财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发(2019)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批准建设，比选文件已经政府投资主管部门备案，备案号为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LLSL-2019-001</w:t>
      </w:r>
      <w:r>
        <w:rPr>
          <w:rFonts w:hint="eastAsia" w:ascii="仿宋" w:hAnsi="仿宋" w:eastAsia="仿宋" w:cs="仿宋"/>
          <w:sz w:val="32"/>
          <w:szCs w:val="32"/>
        </w:rPr>
        <w:t>。本项目将通过比选综合评价的方式确定中选人(承包人)，邀请符合资格条件的潜在申请人参与本项目的比选。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比选人(项目业主):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西藏洛隆县水利局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2019年水利工程运行与维护补助项目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建设地点: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洛隆县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建设工期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工程规模或标准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：洛隆县堆村巴西、布西饮水工程，新建取水口一座，蓄水池两座，管道长度为6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00米。洛隆县然昌村尼中、之中、中美村饮水工程，新建取水口一座，蓄水池3座，管道长度为12078米。洛隆县孜普卡村饮水工程，新建取水口一座，蓄水池两座，管道长度为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资金来源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：工程预算总投资为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250.01万元，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中央财政投资。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其他: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三、比选内容(合同段划分)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合同段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主要建设内容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投资(万元)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质量要求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(一)一般要求: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具有独立企业法人资格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(二)资质要求:企业资质等级不应低于(包括):</w:t>
      </w:r>
      <w:r>
        <w:rPr>
          <w:rFonts w:hint="eastAsia" w:ascii="仿宋" w:hAnsi="仿宋" w:eastAsia="仿宋" w:cs="仿宋"/>
          <w:sz w:val="32"/>
          <w:szCs w:val="32"/>
          <w:u w:val="single"/>
        </w:rPr>
        <w:t>国家建设行政主管部门颁发的建筑工程施工总承包三级及以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(三)其他要求: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申请人不得修改比选申请函内容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(四)本项目不接受联合体参加比选。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五、申请人参加比选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(-)请有意参加本项目竞争的比选申请人在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西藏洛隆县水利局办公室</w:t>
      </w:r>
      <w:r>
        <w:rPr>
          <w:rFonts w:hint="eastAsia" w:ascii="仿宋" w:hAnsi="仿宋" w:eastAsia="仿宋" w:cs="仿宋"/>
          <w:sz w:val="32"/>
          <w:szCs w:val="32"/>
        </w:rPr>
        <w:t>加报名。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(二)比选公告规定的报名时间最少不得少于3个工作日。比选人报名时间为自发出比选公告之时起至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分截止。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(三)必选人在参加报名应携带以下报名所需资料:企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业相关资质证书、施工组织设计、商务文件以及公证书或委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(四)比选人以比选公告公布的工程发包价(含清単中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的单价同比下浮)、工程图纸和合同样本，按照随机抽取方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式确定唯一中选人，并实施工程图纸和工程量清单范国内的总价包干发包(发包价即竣工结算价)。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(五)本项目(合同段)比选人采用的报价方式、报价要求、工程发包价一览表，本次比选缴纳比选保证金不做要求。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合同段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价方式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价要求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工程发包价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六、评标委员会评审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在洛隆县财政局、发展和改革委等部门的监督下，组成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本项目评审委员会，按照本项目“比选文件”的规定和要求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在洛隆县建设工程交易中心对该项目比选被邀请人提供的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比选申请文件进行评审。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比选人(项目业主)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：洛隆县水利局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18141452226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西藏洛隆县水利局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6C3"/>
    <w:rsid w:val="0E2C3C91"/>
    <w:rsid w:val="12421849"/>
    <w:rsid w:val="3C0A2BD1"/>
    <w:rsid w:val="47B75A05"/>
    <w:rsid w:val="4D3446C3"/>
    <w:rsid w:val="5A607D50"/>
    <w:rsid w:val="5E643EFC"/>
    <w:rsid w:val="74EB1693"/>
    <w:rsid w:val="773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2019-08-09T03:40:00Z</dcterms:created>
  <dc:creator>Administrator</dc:creator>
  <cp:lastModifiedBy>Administrator</cp:lastModifiedBy>
  <dcterms:modified xsi:type="dcterms:W3CDTF">2019-08-09T04:34:08Z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