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10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洛隆县中亦乡人民政府2025年度</w:t>
      </w:r>
    </w:p>
    <w:p w14:paraId="7BE423D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sz w:val="32"/>
          <w:szCs w:val="44"/>
          <w:lang w:val="en-US" w:eastAsia="zh-CN"/>
        </w:rPr>
      </w:pPr>
      <w:r>
        <w:rPr>
          <w:rFonts w:hint="eastAsia" w:ascii="方正公文小标宋" w:hAnsi="方正公文小标宋" w:eastAsia="方正公文小标宋" w:cs="方正公文小标宋"/>
          <w:sz w:val="44"/>
          <w:szCs w:val="44"/>
          <w:lang w:val="en-US" w:eastAsia="zh-CN"/>
        </w:rPr>
        <w:t>法治政府建设情况报告</w:t>
      </w:r>
    </w:p>
    <w:p w14:paraId="17800BDE">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方正仿宋_GB2312" w:hAnsi="方正仿宋_GB2312"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中亦乡坚持以习近平新时代中国特色社会主义思想为指导，深入学习贯彻习近平法治思想和党的二十大和二十届历次全会精神，紧扣法治政府建设目标任务，将法治建设贯穿乡村经济社会发展各领域全过程，扎实推进各项工作落地见效，为法治乡村建设高质量发展提供了坚实法治保障。现将本年度法治政府建设情况报告如下</w:t>
      </w:r>
      <w:r>
        <w:rPr>
          <w:rFonts w:hint="eastAsia" w:ascii="仿宋_GB2312" w:hAnsi="仿宋_GB2312" w:cs="仿宋_GB2312"/>
          <w:sz w:val="32"/>
          <w:szCs w:val="32"/>
          <w:lang w:val="en-US" w:eastAsia="zh-CN"/>
        </w:rPr>
        <w:t>。</w:t>
      </w:r>
    </w:p>
    <w:p w14:paraId="150ABFAE">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一、推进法治政府建设的主</w:t>
      </w:r>
      <w:bookmarkStart w:id="0" w:name="_GoBack"/>
      <w:bookmarkEnd w:id="0"/>
      <w:r>
        <w:rPr>
          <w:rFonts w:hint="eastAsia" w:ascii="黑体" w:hAnsi="黑体" w:eastAsia="黑体" w:cs="黑体"/>
          <w:sz w:val="32"/>
          <w:szCs w:val="32"/>
          <w:lang w:val="en-US" w:eastAsia="zh-CN"/>
        </w:rPr>
        <w:t>要举措和成效</w:t>
      </w:r>
    </w:p>
    <w:p w14:paraId="4341E729">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方正仿宋_GB2312" w:hAnsi="方正仿宋_GB2312" w:eastAsia="仿宋_GB2312" w:cs="方正仿宋_GB2312"/>
          <w:sz w:val="32"/>
          <w:szCs w:val="32"/>
          <w:lang w:val="en-US" w:eastAsia="zh-CN"/>
        </w:rPr>
      </w:pPr>
      <w:r>
        <w:rPr>
          <w:rFonts w:hint="eastAsia" w:ascii="楷体_GB2312" w:hAnsi="楷体_GB2312" w:eastAsia="楷体_GB2312" w:cs="楷体_GB2312"/>
          <w:kern w:val="2"/>
          <w:sz w:val="32"/>
          <w:szCs w:val="32"/>
          <w:lang w:val="en-US" w:eastAsia="zh-CN" w:bidi="ar-SA"/>
        </w:rPr>
        <w:t>（一）健全工作机制，夯实法治建设根基。</w:t>
      </w:r>
      <w:r>
        <w:rPr>
          <w:rFonts w:hint="eastAsia" w:ascii="方正仿宋_GB2312" w:hAnsi="方正仿宋_GB2312" w:eastAsia="仿宋_GB2312" w:cs="方正仿宋_GB2312"/>
          <w:sz w:val="32"/>
          <w:szCs w:val="32"/>
          <w:lang w:val="en-US" w:eastAsia="zh-CN"/>
        </w:rPr>
        <w:t>将法治政府建设纳入乡党委、政府年度重点工作和绩效考核体系，成立由乡党委书记、乡长任双组长的法治建设工作领导小组，修订完善《中亦乡法治政府建设实施方案</w:t>
      </w:r>
      <w:r>
        <w:rPr>
          <w:rFonts w:hint="eastAsia" w:ascii="Times New Roman" w:hAnsi="Times New Roman" w:eastAsia="仿宋_GB2312" w:cs="Times New Roman"/>
          <w:sz w:val="32"/>
          <w:szCs w:val="32"/>
          <w:lang w:val="en-US" w:eastAsia="zh-CN"/>
        </w:rPr>
        <w:t>（2025—2027年）》</w:t>
      </w:r>
      <w:r>
        <w:rPr>
          <w:rFonts w:hint="eastAsia" w:ascii="方正仿宋_GB2312" w:hAnsi="方正仿宋_GB2312" w:eastAsia="仿宋_GB2312" w:cs="方正仿宋_GB2312"/>
          <w:sz w:val="32"/>
          <w:szCs w:val="32"/>
          <w:lang w:val="en-US" w:eastAsia="zh-CN"/>
        </w:rPr>
        <w:t>，根据我乡实际情况，</w:t>
      </w:r>
      <w:r>
        <w:rPr>
          <w:rFonts w:hint="eastAsia" w:ascii="Times New Roman" w:hAnsi="Times New Roman" w:eastAsia="仿宋_GB2312" w:cs="Times New Roman"/>
          <w:sz w:val="32"/>
          <w:szCs w:val="32"/>
          <w:lang w:val="en-US" w:eastAsia="zh-CN"/>
        </w:rPr>
        <w:t>确定12项重点任务与36项具</w:t>
      </w:r>
      <w:r>
        <w:rPr>
          <w:rFonts w:hint="eastAsia" w:ascii="方正仿宋_GB2312" w:hAnsi="方正仿宋_GB2312" w:eastAsia="仿宋_GB2312" w:cs="方正仿宋_GB2312"/>
          <w:sz w:val="32"/>
          <w:szCs w:val="32"/>
          <w:lang w:val="en-US" w:eastAsia="zh-CN"/>
        </w:rPr>
        <w:t>体措施，实施清单式管理和项目化推动。全年召开法治建设专题党委会议</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次、工作推进会</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次，研究解决执法规范化、矛盾化解等重点问题7个，构建起“党委</w:t>
      </w:r>
      <w:r>
        <w:rPr>
          <w:rFonts w:hint="eastAsia" w:ascii="方正仿宋_GB2312" w:hAnsi="方正仿宋_GB2312" w:eastAsia="仿宋_GB2312" w:cs="方正仿宋_GB2312"/>
          <w:sz w:val="32"/>
          <w:szCs w:val="32"/>
          <w:lang w:val="en-US" w:eastAsia="zh-CN"/>
        </w:rPr>
        <w:t>领导、政府负责、部门协同、村</w:t>
      </w:r>
      <w:r>
        <w:rPr>
          <w:rFonts w:hint="eastAsia" w:ascii="方正仿宋_GB2312" w:hAnsi="方正仿宋_GB2312" w:cs="方正仿宋_GB2312"/>
          <w:sz w:val="32"/>
          <w:szCs w:val="32"/>
          <w:lang w:val="en-US" w:eastAsia="zh-CN"/>
        </w:rPr>
        <w:t>村</w:t>
      </w:r>
      <w:r>
        <w:rPr>
          <w:rFonts w:hint="eastAsia" w:ascii="方正仿宋_GB2312" w:hAnsi="方正仿宋_GB2312" w:eastAsia="仿宋_GB2312" w:cs="方正仿宋_GB2312"/>
          <w:sz w:val="32"/>
          <w:szCs w:val="32"/>
          <w:lang w:val="en-US" w:eastAsia="zh-CN"/>
        </w:rPr>
        <w:t>联动”的工作格局。</w:t>
      </w:r>
    </w:p>
    <w:p w14:paraId="1FF55E9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eastAsia="仿宋_GB2312"/>
          <w:sz w:val="32"/>
          <w:lang w:eastAsia="zh-CN"/>
        </w:rPr>
      </w:pPr>
      <w:r>
        <w:rPr>
          <w:rFonts w:hint="eastAsia" w:ascii="楷体_GB2312" w:hAnsi="楷体_GB2312" w:eastAsia="楷体_GB2312" w:cs="楷体_GB2312"/>
          <w:kern w:val="2"/>
          <w:sz w:val="32"/>
          <w:szCs w:val="32"/>
          <w:lang w:val="en-US" w:eastAsia="zh-CN" w:bidi="ar-SA"/>
        </w:rPr>
        <w:t>（二）规范权力运行，提升依法行政水平。</w:t>
      </w:r>
      <w:r>
        <w:rPr>
          <w:rFonts w:hint="eastAsia" w:ascii="方正仿宋_GB2312" w:hAnsi="方正仿宋_GB2312" w:eastAsia="仿宋_GB2312" w:cs="方正仿宋_GB2312"/>
          <w:kern w:val="2"/>
          <w:sz w:val="32"/>
          <w:szCs w:val="32"/>
          <w:lang w:val="en-US" w:eastAsia="zh-CN" w:bidi="ar-SA"/>
        </w:rPr>
        <w:t>结合本乡实际情况，完善决策机制。全年针对村级事务管理、惠民政策落实等6项重点工作展开合法性审查，严格遵循“四议两公开”程序，</w:t>
      </w:r>
      <w:r>
        <w:rPr>
          <w:rFonts w:hint="eastAsia" w:ascii="方正仿宋_GB2312" w:hAnsi="方正仿宋_GB2312" w:eastAsia="仿宋_GB2312" w:cs="方正仿宋_GB2312"/>
          <w:sz w:val="32"/>
          <w:szCs w:val="32"/>
          <w:lang w:val="en-US" w:eastAsia="zh-CN"/>
        </w:rPr>
        <w:t>全面落实行政执法“三项制度”。组织乡派出所及村“两委”干部参与行政执</w:t>
      </w:r>
      <w:r>
        <w:rPr>
          <w:rFonts w:hint="eastAsia" w:ascii="Times New Roman" w:hAnsi="Times New Roman" w:eastAsia="仿宋_GB2312" w:cs="Times New Roman"/>
          <w:sz w:val="32"/>
          <w:szCs w:val="32"/>
          <w:lang w:val="en-US" w:eastAsia="zh-CN"/>
        </w:rPr>
        <w:t>法资格培训，确保执法人员具备专业素养后上岗。聚焦安全生产、农村建房、环境保护、食品安全等重点领域，开展联合执法行动12次，查处违法违规行为3起，以保障执法的</w:t>
      </w:r>
      <w:r>
        <w:rPr>
          <w:rFonts w:hint="eastAsia" w:ascii="方正仿宋_GB2312" w:hAnsi="方正仿宋_GB2312" w:eastAsia="仿宋_GB2312" w:cs="方正仿宋_GB2312"/>
          <w:sz w:val="32"/>
          <w:szCs w:val="32"/>
          <w:lang w:val="en-US" w:eastAsia="zh-CN"/>
        </w:rPr>
        <w:t xml:space="preserve">严格性、规范性、公正性与文明性。 </w:t>
      </w:r>
    </w:p>
    <w:p w14:paraId="2304E264">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kern w:val="2"/>
          <w:sz w:val="32"/>
          <w:szCs w:val="32"/>
          <w:lang w:val="en-US" w:eastAsia="zh-CN" w:bidi="ar-SA"/>
        </w:rPr>
        <w:t>（三）深化普法宣传，营造尊法学法氛围。</w:t>
      </w:r>
      <w:r>
        <w:rPr>
          <w:rFonts w:hint="eastAsia" w:ascii="Times New Roman" w:hAnsi="Times New Roman" w:eastAsia="仿宋_GB2312" w:cs="Times New Roman"/>
          <w:sz w:val="32"/>
          <w:szCs w:val="32"/>
          <w:lang w:val="en-US" w:eastAsia="zh-CN"/>
        </w:rPr>
        <w:t>在各村党群服务中心设置“法治图书角”，更新宣传内容47余条</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 xml:space="preserve">围绕“3·15”消费者权益日、“12·4”国家宪法日等重要节点，开展主题宣传活动5场，针对农村老人、青少年、返乡务工人员等群体开展“定制化”法治讲座32次，发放宣传资料300余份，覆盖群众3000余人次。深入推进“一村四法律明白人”制度，全年提供法律咨询200余人次，化解法律疑问100余个，群众法治意识明显提升。 </w:t>
      </w:r>
    </w:p>
    <w:p w14:paraId="28B8E3AB">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32"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（四）创新治理模式，夯实和谐稳定基础。</w:t>
      </w:r>
      <w:r>
        <w:rPr>
          <w:rFonts w:hint="eastAsia" w:ascii="Times New Roman" w:hAnsi="Times New Roman" w:eastAsia="仿宋_GB2312" w:cs="Times New Roman"/>
          <w:kern w:val="2"/>
          <w:sz w:val="32"/>
          <w:szCs w:val="32"/>
          <w:lang w:val="en-US" w:eastAsia="zh-CN" w:bidi="ar-SA"/>
        </w:rPr>
        <w:t>秉持并发展新时代“枫桥经验”，构建“乡—村”二级矛盾纠纷调解体系，我乡设有5个调解委员会（其中乡级调解委员会1个、村级调解委员会4个），共有29名调解人员（其中兼职人民调解人员28名、专职人民调解人员1名）。各调解委员会积极开展矛盾纠纷排查化解专项工作，落实“每日一排查、每月一汇报、突发事件即时报”工作机制，聚焦重点人群、重点区域、重点行业，针对重大群体性矛盾纠纷及时进行预警并主动上报。截至目前，中亦乡“一站式”矛盾纠纷调解中心与各村人民调解委员会累计开展各类矛盾纠纷排查400余次，发现矛盾纠纷8件，化解矛盾纠纷8件，调解成功率达100%，充分发挥了人民调解作为社会矛盾“第一道防线”的关键作用。优化信访工作机制，实施班子成员常态化接访与“下沉式”下访举措，落实重点信访案件“领导包案、专班推进”制度。全年化解信访案件3件，信访事项办结率达100%。强化刑满释放人员管理，推行“一人一策”帮扶策略，全年未出现脱管漏管及重新犯罪现象。</w:t>
      </w:r>
    </w:p>
    <w:p w14:paraId="12FDC8CC">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二、党政主要负责人履行推进法治建设第一责任人职责情况</w:t>
      </w:r>
    </w:p>
    <w:p w14:paraId="1965BEBC">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乡党委、政府主要负责人严格落实《党政主要负责人履行推进法治建设第一责任人职责规定》，切实扛起法治建设“第一责任人”职责，推动各项工作落地见效。</w:t>
      </w:r>
    </w:p>
    <w:p w14:paraId="445015B1">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（一）强化统筹部署，压实法治责任。</w:t>
      </w:r>
      <w:r>
        <w:rPr>
          <w:rFonts w:hint="eastAsia" w:ascii="Times New Roman" w:hAnsi="Times New Roman" w:eastAsia="仿宋_GB2312" w:cs="Times New Roman"/>
          <w:kern w:val="2"/>
          <w:sz w:val="32"/>
          <w:szCs w:val="32"/>
          <w:lang w:val="en-US" w:eastAsia="zh-CN" w:bidi="ar-SA"/>
        </w:rPr>
        <w:t>乡党委书记坚持把法治建设摆在全局工作突出位置，做到“四个亲自”：亲自部署法治政府建设年度工作，亲自过问重大执法案件和信访积案化解，亲自协调跨部门执法协作问题，亲自督办法治宣传、队伍建设等重点任务。乡长牵头制定法治政府建设工作规划和年度计划，将法治建设与经济发展、乡村振兴等中心工作同部署、同推进、同考核，定期听取工作汇报，研究解决经费保障、人员配备等实际问题。</w:t>
      </w:r>
    </w:p>
    <w:p w14:paraId="1AE99824">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（二）带头尊法学法，提升法治素养。</w:t>
      </w:r>
      <w:r>
        <w:rPr>
          <w:rFonts w:hint="eastAsia" w:ascii="Times New Roman" w:hAnsi="Times New Roman" w:eastAsia="仿宋_GB2312" w:cs="Times New Roman"/>
          <w:kern w:val="2"/>
          <w:sz w:val="32"/>
          <w:szCs w:val="32"/>
          <w:lang w:val="en-US" w:eastAsia="zh-CN" w:bidi="ar-SA"/>
        </w:rPr>
        <w:t>将习近平法治思想纳入乡党委理论学习中心组学习重点，全年组织专题学习6次，党政主要负责人带头领学《中华人民共和国民法典》《中华人民共和国乡村振兴促进法》等法律法规。主动参加上级组织的法治专题培训4次，在乡机关干部大会上开展法治讲座2次，带头遵守法律规定、执行重大行政决策程序，为全乡干部作出示范表率。</w:t>
      </w:r>
    </w:p>
    <w:p w14:paraId="63A5F366">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（三）聚焦重点任务，狠抓工作落实。</w:t>
      </w:r>
      <w:r>
        <w:rPr>
          <w:rFonts w:hint="eastAsia" w:ascii="Times New Roman" w:hAnsi="Times New Roman" w:eastAsia="仿宋_GB2312" w:cs="Times New Roman"/>
          <w:kern w:val="2"/>
          <w:sz w:val="32"/>
          <w:szCs w:val="32"/>
          <w:lang w:val="en-US" w:eastAsia="zh-CN" w:bidi="ar-SA"/>
        </w:rPr>
        <w:t>针对执法不规范、宣传不到位等问题，党政主要负责人牵头成立专项督导组，开展常态化督查3次，发现并整改问题</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个。亲自督办农民工欠薪、违法建筑整治等民生领域执法案件</w:t>
      </w:r>
      <w:r>
        <w:rPr>
          <w:rFonts w:hint="eastAsia" w:ascii="Times New Roman" w:hAnsi="Times New Roman"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件，推动解决群众反映强烈的法治领域突出问题</w:t>
      </w:r>
      <w:r>
        <w:rPr>
          <w:rFonts w:hint="eastAsia" w:ascii="Times New Roman" w:hAnsi="Times New Roman"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个。将法治素养作为干部考核任用的重要依据，在村“两委”换届、乡干部选拔中，严把法治能力关，营造重视法治、践行法治的良好氛围。</w:t>
      </w:r>
    </w:p>
    <w:p w14:paraId="561772EF">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三、下一年度推进法治政府建设的主要安排</w:t>
      </w:r>
    </w:p>
    <w:p w14:paraId="0DD8B4B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2026年，中亦乡将持续以习近平法治思想为指导，聚焦短板弱项，创新工作举措，推动法治政府建设再上新台阶，重点做好以下工作：</w:t>
      </w:r>
    </w:p>
    <w:p w14:paraId="5D229734">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（一）深化法治队伍建设。</w:t>
      </w:r>
      <w:r>
        <w:rPr>
          <w:rFonts w:hint="eastAsia" w:ascii="Times New Roman" w:hAnsi="Times New Roman" w:eastAsia="仿宋_GB2312" w:cs="Times New Roman"/>
          <w:kern w:val="2"/>
          <w:sz w:val="32"/>
          <w:szCs w:val="32"/>
          <w:lang w:val="en-US" w:eastAsia="zh-CN" w:bidi="ar-SA"/>
        </w:rPr>
        <w:t>构建“线上+线下”“理论+实操”立体化培训体系，计划开展法治专题培训8次，新增案例研讨、模拟执法等实战化培训内容，组织执法人员跨乡交流学习2次，提升应对复杂执法场景的能力。优化“法律明白人”“法治带头人”队伍结构，吸纳年轻干部、返乡青年等加入，培育一支专业化基层法治工作队伍。</w:t>
      </w:r>
    </w:p>
    <w:p w14:paraId="2EFEAE6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（二）创新法治宣传模式。</w:t>
      </w:r>
      <w:r>
        <w:rPr>
          <w:rFonts w:hint="eastAsia" w:ascii="Times New Roman" w:hAnsi="Times New Roman" w:eastAsia="仿宋_GB2312" w:cs="Times New Roman"/>
          <w:kern w:val="2"/>
          <w:sz w:val="32"/>
          <w:szCs w:val="32"/>
          <w:lang w:val="en-US" w:eastAsia="zh-CN" w:bidi="ar-SA"/>
        </w:rPr>
        <w:t>整合微信公众号、视频号等线上平台，定期推送普法短视频、漫画等通俗化内容，开设“法治微课堂”专栏。深化“法律六进”活动，针对流动群体开展“送法上门”服务，全年计划开展主题宣传活动10场以上，制作发放定制化普法手册5000份，实现法治宣传全覆盖、无死角。</w:t>
      </w:r>
    </w:p>
    <w:p w14:paraId="4725293E">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（三）推进法治与治理深度融合。</w:t>
      </w:r>
      <w:r>
        <w:rPr>
          <w:rFonts w:hint="eastAsia" w:ascii="Times New Roman" w:hAnsi="Times New Roman" w:eastAsia="仿宋_GB2312" w:cs="Times New Roman"/>
          <w:kern w:val="2"/>
          <w:sz w:val="32"/>
          <w:szCs w:val="32"/>
          <w:lang w:val="en-US" w:eastAsia="zh-CN" w:bidi="ar-SA"/>
        </w:rPr>
        <w:t>探索建立“法治+网格治理”“法治+乡村振兴”“法治+生态保护”工作模式，将法治思维贯穿重点项目推进、环境整治等工作全过程。完善跨部门联合执法机制，明确执法权责清单，减少监管重叠和空白。深化矛盾纠纷多元化解机制，推广“警调衔接”“诉调对接”模式，提升矛盾化解效率和质量。</w:t>
      </w:r>
    </w:p>
    <w:p w14:paraId="67719977">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（四）强化权力监督制约。</w:t>
      </w:r>
      <w:r>
        <w:rPr>
          <w:rFonts w:hint="eastAsia" w:ascii="Times New Roman" w:hAnsi="Times New Roman" w:eastAsia="仿宋_GB2312" w:cs="Times New Roman"/>
          <w:kern w:val="2"/>
          <w:sz w:val="32"/>
          <w:szCs w:val="32"/>
          <w:lang w:val="en-US" w:eastAsia="zh-CN" w:bidi="ar-SA"/>
        </w:rPr>
        <w:t>进一步完善重大行政决策程序，扩大公众参与范围，健全决策后评估和责任追究制度。加强行政执法监督，引入第三方评估机构对执法质量进行评价，每季度开展一次执法案卷评查。全面推进政务公开，及时公开执法流程、决策结果、财政收支等信息，保障群众的知情权、参与权和监督权。</w:t>
      </w:r>
    </w:p>
    <w:p w14:paraId="568809AD">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（五）压实法治建设责任。</w:t>
      </w:r>
      <w:r>
        <w:rPr>
          <w:rFonts w:hint="eastAsia" w:ascii="Times New Roman" w:hAnsi="Times New Roman" w:eastAsia="仿宋_GB2312" w:cs="Times New Roman"/>
          <w:kern w:val="2"/>
          <w:sz w:val="32"/>
          <w:szCs w:val="32"/>
          <w:lang w:val="en-US" w:eastAsia="zh-CN" w:bidi="ar-SA"/>
        </w:rPr>
        <w:t>持续落实党政主要负责人推进法治建设第一责任人职责，将法治建设成效纳入领导班子和干部年度考核，加大考核权重。建立法治建设常态化督查机制，每半年开展一次专项督查，对工作推进不力、问题整改不及时的严肃问责，确保法治政府建设各项任务落到实处。</w:t>
      </w:r>
    </w:p>
    <w:p w14:paraId="46229FF5">
      <w:pPr>
        <w:keepNext w:val="0"/>
        <w:keepLines w:val="0"/>
        <w:pageBreakBefore w:val="0"/>
        <w:widowControl w:val="0"/>
        <w:kinsoku/>
        <w:wordWrap/>
        <w:overflowPunct/>
        <w:topLinePunct w:val="0"/>
        <w:autoSpaceDE/>
        <w:autoSpaceDN/>
        <w:bidi w:val="0"/>
        <w:adjustRightInd/>
        <w:snapToGrid/>
        <w:spacing w:line="576" w:lineRule="exact"/>
        <w:ind w:firstLine="5372" w:firstLineChars="1700"/>
        <w:jc w:val="both"/>
        <w:textAlignment w:val="auto"/>
        <w:rPr>
          <w:rFonts w:hint="eastAsia" w:ascii="Times New Roman" w:hAnsi="Times New Roman" w:eastAsia="仿宋_GB2312" w:cs="Times New Roman"/>
          <w:kern w:val="2"/>
          <w:sz w:val="32"/>
          <w:szCs w:val="32"/>
          <w:lang w:val="en-US" w:eastAsia="zh-CN" w:bidi="ar-SA"/>
        </w:rPr>
      </w:pPr>
    </w:p>
    <w:p w14:paraId="7B29E429">
      <w:pPr>
        <w:pStyle w:val="2"/>
        <w:rPr>
          <w:rFonts w:hint="eastAsia" w:ascii="Times New Roman" w:hAnsi="Times New Roman" w:eastAsia="仿宋_GB2312" w:cs="Times New Roman"/>
          <w:kern w:val="2"/>
          <w:sz w:val="32"/>
          <w:szCs w:val="32"/>
          <w:lang w:val="en-US" w:eastAsia="zh-CN" w:bidi="ar-SA"/>
        </w:rPr>
      </w:pPr>
    </w:p>
    <w:p w14:paraId="08AA02FF">
      <w:pPr>
        <w:keepNext w:val="0"/>
        <w:keepLines w:val="0"/>
        <w:pageBreakBefore w:val="0"/>
        <w:widowControl w:val="0"/>
        <w:kinsoku/>
        <w:wordWrap/>
        <w:overflowPunct/>
        <w:topLinePunct w:val="0"/>
        <w:autoSpaceDE/>
        <w:autoSpaceDN/>
        <w:bidi w:val="0"/>
        <w:adjustRightInd/>
        <w:snapToGrid/>
        <w:spacing w:line="576" w:lineRule="exact"/>
        <w:ind w:firstLine="5372" w:firstLineChars="17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中亦乡人民政府</w:t>
      </w:r>
    </w:p>
    <w:p w14:paraId="1671C9F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2026年1月</w:t>
      </w:r>
      <w:r>
        <w:rPr>
          <w:rFonts w:hint="eastAsia" w:ascii="Times New Roman" w:hAnsi="Times New Roman" w:cs="Times New Roman"/>
          <w:kern w:val="2"/>
          <w:sz w:val="32"/>
          <w:szCs w:val="32"/>
          <w:lang w:val="en-US" w:eastAsia="zh-CN" w:bidi="ar-SA"/>
        </w:rPr>
        <w:t>30</w:t>
      </w:r>
      <w:r>
        <w:rPr>
          <w:rFonts w:hint="eastAsia" w:ascii="Times New Roman" w:hAnsi="Times New Roman" w:eastAsia="仿宋_GB2312" w:cs="Times New Roman"/>
          <w:kern w:val="2"/>
          <w:sz w:val="32"/>
          <w:szCs w:val="32"/>
          <w:lang w:val="en-US" w:eastAsia="zh-CN" w:bidi="ar-SA"/>
        </w:rPr>
        <w:t>日</w:t>
      </w:r>
    </w:p>
    <w:sectPr>
      <w:footerReference r:id="rId3" w:type="default"/>
      <w:pgSz w:w="11906" w:h="16838"/>
      <w:pgMar w:top="2098" w:right="1474" w:bottom="1984" w:left="1587" w:header="851" w:footer="1417"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30B62-CCB0-4A70-A8B1-796597339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6C90C5-84BB-49D0-817A-A3EE3BE01075}"/>
  </w:font>
  <w:font w:name="仿宋_GB2312">
    <w:panose1 w:val="02010609030101010101"/>
    <w:charset w:val="86"/>
    <w:family w:val="auto"/>
    <w:pitch w:val="default"/>
    <w:sig w:usb0="00000001" w:usb1="080E0000" w:usb2="00000000" w:usb3="00000000" w:csb0="00040000" w:csb1="00000000"/>
    <w:embedRegular r:id="rId3" w:fontKey="{8D0B0951-EB38-4C57-9DB3-20AE5F3CA73A}"/>
  </w:font>
  <w:font w:name="方正小标宋_GBK">
    <w:altName w:val="微软雅黑"/>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0D2B5B26-DAB1-4048-BAAB-06DBBEBC7914}"/>
  </w:font>
  <w:font w:name="楷体_GB2312">
    <w:panose1 w:val="02010609030101010101"/>
    <w:charset w:val="86"/>
    <w:family w:val="auto"/>
    <w:pitch w:val="default"/>
    <w:sig w:usb0="00000001" w:usb1="080E0000" w:usb2="00000000" w:usb3="00000000" w:csb0="00040000" w:csb1="00000000"/>
    <w:embedRegular r:id="rId5" w:fontKey="{79F10BB7-BC00-4F50-8D37-27B3067E9461}"/>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F0718634-0345-4856-9F04-0D888A1B82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EA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8652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8652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00000000"/>
    <w:rsid w:val="00D01278"/>
    <w:rsid w:val="073834E2"/>
    <w:rsid w:val="08EE6740"/>
    <w:rsid w:val="0B2C5684"/>
    <w:rsid w:val="0C7B653C"/>
    <w:rsid w:val="0CB41A4E"/>
    <w:rsid w:val="0D9D0734"/>
    <w:rsid w:val="0ECC7523"/>
    <w:rsid w:val="12296A3A"/>
    <w:rsid w:val="14061068"/>
    <w:rsid w:val="14F72E20"/>
    <w:rsid w:val="15B12FCF"/>
    <w:rsid w:val="165D6CB3"/>
    <w:rsid w:val="1A023DF9"/>
    <w:rsid w:val="1BA57132"/>
    <w:rsid w:val="1D291034"/>
    <w:rsid w:val="1D3801C2"/>
    <w:rsid w:val="1E0C16EA"/>
    <w:rsid w:val="1E3E73CA"/>
    <w:rsid w:val="22056B7C"/>
    <w:rsid w:val="23BD74F2"/>
    <w:rsid w:val="279462AC"/>
    <w:rsid w:val="28B135BA"/>
    <w:rsid w:val="2B41674B"/>
    <w:rsid w:val="2BFD08C4"/>
    <w:rsid w:val="2D5C161A"/>
    <w:rsid w:val="30607173"/>
    <w:rsid w:val="31AD68E8"/>
    <w:rsid w:val="32EC5E34"/>
    <w:rsid w:val="33A53D1B"/>
    <w:rsid w:val="370F76FD"/>
    <w:rsid w:val="378B3228"/>
    <w:rsid w:val="39B527DE"/>
    <w:rsid w:val="3D29776B"/>
    <w:rsid w:val="3D536596"/>
    <w:rsid w:val="3EFB0C93"/>
    <w:rsid w:val="3FF102E8"/>
    <w:rsid w:val="405368AD"/>
    <w:rsid w:val="43413334"/>
    <w:rsid w:val="45765517"/>
    <w:rsid w:val="46040D75"/>
    <w:rsid w:val="49303C2F"/>
    <w:rsid w:val="49C01457"/>
    <w:rsid w:val="4A6022F2"/>
    <w:rsid w:val="4EAD5D22"/>
    <w:rsid w:val="4EEE622E"/>
    <w:rsid w:val="4FBA6B8B"/>
    <w:rsid w:val="53B80F2B"/>
    <w:rsid w:val="53EC2E48"/>
    <w:rsid w:val="541A5C08"/>
    <w:rsid w:val="56E147BB"/>
    <w:rsid w:val="59EF2C48"/>
    <w:rsid w:val="5B962018"/>
    <w:rsid w:val="5CD01559"/>
    <w:rsid w:val="5DF03535"/>
    <w:rsid w:val="5ED13367"/>
    <w:rsid w:val="5F7563E8"/>
    <w:rsid w:val="626544F2"/>
    <w:rsid w:val="62F67840"/>
    <w:rsid w:val="63F41893"/>
    <w:rsid w:val="64590086"/>
    <w:rsid w:val="646D58E0"/>
    <w:rsid w:val="66F916AD"/>
    <w:rsid w:val="69D02B99"/>
    <w:rsid w:val="6CF90658"/>
    <w:rsid w:val="6F4831D1"/>
    <w:rsid w:val="6FD35A51"/>
    <w:rsid w:val="70DF1913"/>
    <w:rsid w:val="70ED2282"/>
    <w:rsid w:val="71662034"/>
    <w:rsid w:val="746A51D3"/>
    <w:rsid w:val="74BD19D6"/>
    <w:rsid w:val="753D30AC"/>
    <w:rsid w:val="79ED32F3"/>
    <w:rsid w:val="7B430CF1"/>
    <w:rsid w:val="7C596A1E"/>
    <w:rsid w:val="7CE502B1"/>
    <w:rsid w:val="7E29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5d63a-ac96-4281-b862-c3dfd060b9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2666</Words>
  <Characters>2715</Characters>
  <Lines>0</Lines>
  <Paragraphs>0</Paragraphs>
  <TotalTime>90</TotalTime>
  <ScaleCrop>false</ScaleCrop>
  <LinksUpToDate>false</LinksUpToDate>
  <CharactersWithSpaces>2751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2026-01-13T03:31:00Z</dcterms:created>
  <dc:creator>Administrator</dc:creator>
  <cp:lastModifiedBy>三寸旧城- mello#</cp:lastModifiedBy>
  <dcterms:modified xsi:type="dcterms:W3CDTF">2026-03-27T03:01:53Z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eyJoZGlkIjoiOWUxNzNlNTY3ZjIyMDI3ZmYwZjNjYmJlNjc1ZTZmY2QiLCJ1c2VySWQiOiIxODk5NzQ3MjcifQ==</vt:lpwstr>
  </property>
  <property fmtid="{D5CDD505-2E9C-101B-9397-08002B2CF9AE}" pid="4" name="ICV">
    <vt:lpwstr>7EE43C8D378944D683EFBBCD9D3EB820_12</vt:lpwstr>
  </property>
</Properties>
</file>