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6017AD">
      <w:pPr>
        <w:pStyle w:val="3"/>
        <w:keepNext w:val="0"/>
        <w:keepLines w:val="0"/>
        <w:widowControl/>
        <w:suppressLineNumbers w:val="0"/>
        <w:spacing w:before="180" w:beforeAutospacing="0" w:after="180" w:afterAutospacing="0"/>
        <w:ind w:left="0" w:right="0"/>
        <w:jc w:val="center"/>
        <w:rPr>
          <w:sz w:val="36"/>
          <w:szCs w:val="36"/>
        </w:rPr>
      </w:pPr>
      <w:r>
        <w:rPr>
          <w:rFonts w:hint="eastAsia"/>
          <w:sz w:val="36"/>
          <w:szCs w:val="36"/>
          <w:lang w:val="en-US" w:eastAsia="zh-CN"/>
        </w:rPr>
        <w:t>洛隆</w:t>
      </w:r>
      <w:r>
        <w:rPr>
          <w:sz w:val="36"/>
          <w:szCs w:val="36"/>
        </w:rPr>
        <w:t>县统计局涉企行政检查事项清单</w:t>
      </w:r>
    </w:p>
    <w:tbl>
      <w:tblPr>
        <w:tblW w:w="15030" w:type="dxa"/>
        <w:tblInd w:w="0"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tblLayout w:type="fixed"/>
        <w:tblCellMar>
          <w:top w:w="0" w:type="dxa"/>
          <w:left w:w="0" w:type="dxa"/>
          <w:bottom w:w="0" w:type="dxa"/>
          <w:right w:w="0" w:type="dxa"/>
        </w:tblCellMar>
      </w:tblPr>
      <w:tblGrid>
        <w:gridCol w:w="535"/>
        <w:gridCol w:w="1256"/>
        <w:gridCol w:w="1190"/>
        <w:gridCol w:w="1177"/>
        <w:gridCol w:w="1174"/>
        <w:gridCol w:w="7082"/>
        <w:gridCol w:w="825"/>
        <w:gridCol w:w="891"/>
        <w:gridCol w:w="900"/>
      </w:tblGrid>
      <w:tr w14:paraId="297A297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tblPrEx>
        <w:trPr>
          <w:trHeight w:val="600"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14:paraId="34DE0F97">
            <w:pPr>
              <w:keepNext w:val="0"/>
              <w:keepLines w:val="0"/>
              <w:widowControl/>
              <w:suppressLineNumbers w:val="0"/>
              <w:jc w:val="center"/>
              <w:textAlignment w:val="center"/>
              <w:rPr>
                <w:rFonts w:hint="eastAsia" w:ascii="宋体" w:hAnsi="宋体" w:eastAsia="宋体" w:cs="宋体"/>
                <w:b/>
                <w:bCs/>
                <w:sz w:val="28"/>
                <w:szCs w:val="28"/>
              </w:rPr>
            </w:pPr>
            <w:r>
              <w:rPr>
                <w:rFonts w:hint="eastAsia" w:ascii="宋体" w:hAnsi="宋体" w:eastAsia="宋体" w:cs="宋体"/>
                <w:b/>
                <w:bCs/>
                <w:sz w:val="28"/>
                <w:szCs w:val="28"/>
                <w:bdr w:val="none" w:color="auto" w:sz="0" w:space="0"/>
              </w:rPr>
              <w:t xml:space="preserve">序号 </w:t>
            </w:r>
          </w:p>
        </w:tc>
        <w:tc>
          <w:tcPr>
            <w:tcW w:w="1256"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94C2B2B">
            <w:pPr>
              <w:keepNext w:val="0"/>
              <w:keepLines w:val="0"/>
              <w:widowControl/>
              <w:suppressLineNumbers w:val="0"/>
              <w:jc w:val="center"/>
              <w:textAlignment w:val="center"/>
              <w:rPr>
                <w:rFonts w:hint="eastAsia" w:ascii="宋体" w:hAnsi="宋体" w:eastAsia="宋体" w:cs="宋体"/>
                <w:b/>
                <w:bCs/>
                <w:sz w:val="28"/>
                <w:szCs w:val="28"/>
              </w:rPr>
            </w:pPr>
            <w:r>
              <w:rPr>
                <w:rFonts w:hint="eastAsia" w:ascii="宋体" w:hAnsi="宋体" w:eastAsia="宋体" w:cs="宋体"/>
                <w:b/>
                <w:bCs/>
                <w:sz w:val="28"/>
                <w:szCs w:val="28"/>
                <w:bdr w:val="none" w:color="auto" w:sz="0" w:space="0"/>
              </w:rPr>
              <w:t xml:space="preserve">行政检查事项名称 </w:t>
            </w:r>
          </w:p>
        </w:tc>
        <w:tc>
          <w:tcPr>
            <w:tcW w:w="119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14:paraId="5A805B4B">
            <w:pPr>
              <w:keepNext w:val="0"/>
              <w:keepLines w:val="0"/>
              <w:widowControl/>
              <w:suppressLineNumbers w:val="0"/>
              <w:jc w:val="center"/>
              <w:textAlignment w:val="center"/>
              <w:rPr>
                <w:rFonts w:hint="eastAsia" w:ascii="宋体" w:hAnsi="宋体" w:eastAsia="宋体" w:cs="宋体"/>
                <w:b/>
                <w:bCs/>
                <w:sz w:val="28"/>
                <w:szCs w:val="28"/>
              </w:rPr>
            </w:pPr>
            <w:r>
              <w:rPr>
                <w:rFonts w:hint="eastAsia" w:ascii="宋体" w:hAnsi="宋体" w:eastAsia="宋体" w:cs="宋体"/>
                <w:b/>
                <w:bCs/>
                <w:sz w:val="28"/>
                <w:szCs w:val="28"/>
                <w:bdr w:val="none" w:color="auto" w:sz="0" w:space="0"/>
              </w:rPr>
              <w:t xml:space="preserve">检查部门 </w:t>
            </w:r>
          </w:p>
        </w:tc>
        <w:tc>
          <w:tcPr>
            <w:tcW w:w="1177"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1EBA14A">
            <w:pPr>
              <w:keepNext w:val="0"/>
              <w:keepLines w:val="0"/>
              <w:widowControl/>
              <w:suppressLineNumbers w:val="0"/>
              <w:jc w:val="center"/>
              <w:textAlignment w:val="center"/>
              <w:rPr>
                <w:rFonts w:hint="eastAsia" w:ascii="宋体" w:hAnsi="宋体" w:eastAsia="宋体" w:cs="宋体"/>
                <w:b/>
                <w:bCs/>
                <w:sz w:val="28"/>
                <w:szCs w:val="28"/>
              </w:rPr>
            </w:pPr>
            <w:r>
              <w:rPr>
                <w:rFonts w:hint="eastAsia" w:ascii="宋体" w:hAnsi="宋体" w:eastAsia="宋体" w:cs="宋体"/>
                <w:b/>
                <w:bCs/>
                <w:sz w:val="28"/>
                <w:szCs w:val="28"/>
                <w:bdr w:val="none" w:color="auto" w:sz="0" w:space="0"/>
              </w:rPr>
              <w:t xml:space="preserve">检查机构 </w:t>
            </w:r>
          </w:p>
        </w:tc>
        <w:tc>
          <w:tcPr>
            <w:tcW w:w="1174"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14:paraId="026FFF67">
            <w:pPr>
              <w:keepNext w:val="0"/>
              <w:keepLines w:val="0"/>
              <w:widowControl/>
              <w:suppressLineNumbers w:val="0"/>
              <w:jc w:val="center"/>
              <w:textAlignment w:val="center"/>
              <w:rPr>
                <w:rFonts w:hint="eastAsia" w:ascii="宋体" w:hAnsi="宋体" w:eastAsia="宋体" w:cs="宋体"/>
                <w:b/>
                <w:bCs/>
                <w:sz w:val="28"/>
                <w:szCs w:val="28"/>
              </w:rPr>
            </w:pPr>
            <w:r>
              <w:rPr>
                <w:rFonts w:hint="eastAsia" w:ascii="宋体" w:hAnsi="宋体" w:eastAsia="宋体" w:cs="宋体"/>
                <w:b/>
                <w:bCs/>
                <w:sz w:val="28"/>
                <w:szCs w:val="28"/>
                <w:bdr w:val="none" w:color="auto" w:sz="0" w:space="0"/>
              </w:rPr>
              <w:t xml:space="preserve">检查对象 </w:t>
            </w:r>
          </w:p>
        </w:tc>
        <w:tc>
          <w:tcPr>
            <w:tcW w:w="7082"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14:paraId="2AEC316B">
            <w:pPr>
              <w:keepNext w:val="0"/>
              <w:keepLines w:val="0"/>
              <w:widowControl/>
              <w:suppressLineNumbers w:val="0"/>
              <w:jc w:val="center"/>
              <w:textAlignment w:val="center"/>
              <w:rPr>
                <w:rFonts w:hint="eastAsia" w:ascii="宋体" w:hAnsi="宋体" w:eastAsia="宋体" w:cs="宋体"/>
                <w:b/>
                <w:bCs/>
                <w:sz w:val="28"/>
                <w:szCs w:val="28"/>
              </w:rPr>
            </w:pPr>
            <w:r>
              <w:rPr>
                <w:rFonts w:hint="eastAsia" w:ascii="宋体" w:hAnsi="宋体" w:eastAsia="宋体" w:cs="宋体"/>
                <w:b/>
                <w:bCs/>
                <w:sz w:val="28"/>
                <w:szCs w:val="28"/>
                <w:bdr w:val="none" w:color="auto" w:sz="0" w:space="0"/>
              </w:rPr>
              <w:t xml:space="preserve">检查依据 </w:t>
            </w:r>
          </w:p>
        </w:tc>
        <w:tc>
          <w:tcPr>
            <w:tcW w:w="1716"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14:paraId="745DC5AC">
            <w:pPr>
              <w:keepNext w:val="0"/>
              <w:keepLines w:val="0"/>
              <w:widowControl/>
              <w:suppressLineNumbers w:val="0"/>
              <w:jc w:val="center"/>
              <w:textAlignment w:val="center"/>
              <w:rPr>
                <w:rFonts w:hint="eastAsia" w:ascii="宋体" w:hAnsi="宋体" w:eastAsia="宋体" w:cs="宋体"/>
                <w:b/>
                <w:bCs/>
                <w:sz w:val="28"/>
                <w:szCs w:val="28"/>
              </w:rPr>
            </w:pPr>
            <w:r>
              <w:rPr>
                <w:rFonts w:hint="eastAsia" w:ascii="宋体" w:hAnsi="宋体" w:eastAsia="宋体" w:cs="宋体"/>
                <w:b/>
                <w:bCs/>
                <w:sz w:val="28"/>
                <w:szCs w:val="28"/>
                <w:bdr w:val="none" w:color="auto" w:sz="0" w:space="0"/>
              </w:rPr>
              <w:t xml:space="preserve">实施主体 </w:t>
            </w:r>
          </w:p>
        </w:tc>
        <w:tc>
          <w:tcPr>
            <w:tcW w:w="90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05D799D">
            <w:pPr>
              <w:keepNext w:val="0"/>
              <w:keepLines w:val="0"/>
              <w:widowControl/>
              <w:suppressLineNumbers w:val="0"/>
              <w:jc w:val="center"/>
              <w:textAlignment w:val="center"/>
              <w:rPr>
                <w:rFonts w:hint="eastAsia" w:ascii="宋体" w:hAnsi="宋体" w:eastAsia="宋体" w:cs="宋体"/>
                <w:b/>
                <w:bCs/>
                <w:sz w:val="28"/>
                <w:szCs w:val="28"/>
              </w:rPr>
            </w:pPr>
            <w:r>
              <w:rPr>
                <w:rFonts w:hint="eastAsia" w:ascii="宋体" w:hAnsi="宋体" w:eastAsia="宋体" w:cs="宋体"/>
                <w:b/>
                <w:bCs/>
                <w:sz w:val="28"/>
                <w:szCs w:val="28"/>
                <w:bdr w:val="none" w:color="auto" w:sz="0" w:space="0"/>
              </w:rPr>
              <w:t xml:space="preserve">备注 </w:t>
            </w:r>
          </w:p>
        </w:tc>
      </w:tr>
      <w:tr w14:paraId="40AFDA3B">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tblCellMar>
            <w:top w:w="0" w:type="dxa"/>
            <w:left w:w="0" w:type="dxa"/>
            <w:bottom w:w="0" w:type="dxa"/>
            <w:right w:w="0" w:type="dxa"/>
          </w:tblCellMar>
        </w:tblPrEx>
        <w:trPr>
          <w:trHeight w:val="64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14:paraId="710B4769">
            <w:pPr>
              <w:jc w:val="center"/>
              <w:rPr>
                <w:rFonts w:hint="eastAsia" w:ascii="宋体" w:hAnsi="宋体" w:eastAsia="宋体" w:cs="宋体"/>
                <w:b/>
                <w:bCs/>
                <w:sz w:val="28"/>
                <w:szCs w:val="28"/>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5A6409">
            <w:pPr>
              <w:jc w:val="center"/>
              <w:rPr>
                <w:rFonts w:hint="eastAsia" w:ascii="宋体" w:hAnsi="宋体" w:eastAsia="宋体" w:cs="宋体"/>
                <w:b/>
                <w:bCs/>
                <w:sz w:val="28"/>
                <w:szCs w:val="28"/>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14:paraId="7EAF8C7F">
            <w:pPr>
              <w:jc w:val="center"/>
              <w:rPr>
                <w:rFonts w:hint="eastAsia" w:ascii="宋体" w:hAnsi="宋体" w:eastAsia="宋体" w:cs="宋体"/>
                <w:b/>
                <w:bCs/>
                <w:sz w:val="28"/>
                <w:szCs w:val="28"/>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ACFA473">
            <w:pPr>
              <w:jc w:val="center"/>
              <w:rPr>
                <w:rFonts w:hint="eastAsia" w:ascii="宋体" w:hAnsi="宋体" w:eastAsia="宋体" w:cs="宋体"/>
                <w:b/>
                <w:bCs/>
                <w:sz w:val="28"/>
                <w:szCs w:val="28"/>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14:paraId="3DC14188">
            <w:pPr>
              <w:jc w:val="center"/>
              <w:rPr>
                <w:rFonts w:hint="eastAsia" w:ascii="宋体" w:hAnsi="宋体" w:eastAsia="宋体" w:cs="宋体"/>
                <w:b/>
                <w:bCs/>
                <w:sz w:val="28"/>
                <w:szCs w:val="28"/>
              </w:rPr>
            </w:pPr>
          </w:p>
        </w:tc>
        <w:tc>
          <w:tcPr>
            <w:tcW w:w="708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14:paraId="50F320E9">
            <w:pPr>
              <w:jc w:val="center"/>
              <w:rPr>
                <w:rFonts w:hint="eastAsia" w:ascii="宋体" w:hAnsi="宋体" w:eastAsia="宋体" w:cs="宋体"/>
                <w:b/>
                <w:bCs/>
                <w:sz w:val="28"/>
                <w:szCs w:val="28"/>
              </w:rPr>
            </w:pPr>
          </w:p>
        </w:tc>
        <w:tc>
          <w:tcPr>
            <w:tcW w:w="82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FF5342E">
            <w:pPr>
              <w:keepNext w:val="0"/>
              <w:keepLines w:val="0"/>
              <w:widowControl/>
              <w:suppressLineNumbers w:val="0"/>
              <w:jc w:val="center"/>
              <w:textAlignment w:val="center"/>
              <w:rPr>
                <w:rFonts w:hint="eastAsia" w:ascii="宋体" w:hAnsi="宋体" w:eastAsia="宋体" w:cs="宋体"/>
                <w:b/>
                <w:bCs/>
                <w:sz w:val="28"/>
                <w:szCs w:val="28"/>
              </w:rPr>
            </w:pPr>
            <w:r>
              <w:rPr>
                <w:rFonts w:hint="eastAsia" w:ascii="宋体" w:hAnsi="宋体" w:eastAsia="宋体" w:cs="宋体"/>
                <w:b/>
                <w:bCs/>
                <w:sz w:val="28"/>
                <w:szCs w:val="28"/>
                <w:bdr w:val="none" w:color="auto" w:sz="0" w:space="0"/>
              </w:rPr>
              <w:t xml:space="preserve">行使层级 </w:t>
            </w:r>
          </w:p>
        </w:tc>
        <w:tc>
          <w:tcPr>
            <w:tcW w:w="89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8E33F77">
            <w:pPr>
              <w:keepNext w:val="0"/>
              <w:keepLines w:val="0"/>
              <w:widowControl/>
              <w:suppressLineNumbers w:val="0"/>
              <w:jc w:val="center"/>
              <w:textAlignment w:val="center"/>
              <w:rPr>
                <w:rFonts w:hint="eastAsia" w:ascii="宋体" w:hAnsi="宋体" w:eastAsia="宋体" w:cs="宋体"/>
                <w:b/>
                <w:bCs/>
                <w:sz w:val="28"/>
                <w:szCs w:val="28"/>
              </w:rPr>
            </w:pPr>
            <w:r>
              <w:rPr>
                <w:rFonts w:hint="eastAsia" w:ascii="宋体" w:hAnsi="宋体" w:eastAsia="宋体" w:cs="宋体"/>
                <w:b/>
                <w:bCs/>
                <w:sz w:val="28"/>
                <w:szCs w:val="28"/>
                <w:bdr w:val="none" w:color="auto" w:sz="0" w:space="0"/>
              </w:rPr>
              <w:t xml:space="preserve">实际行使层级 </w:t>
            </w:r>
          </w:p>
        </w:tc>
        <w:tc>
          <w:tcPr>
            <w:tcW w:w="90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EFAFFCC">
            <w:pPr>
              <w:jc w:val="center"/>
              <w:rPr>
                <w:rFonts w:hint="eastAsia" w:ascii="宋体" w:hAnsi="宋体" w:eastAsia="宋体" w:cs="宋体"/>
                <w:b/>
                <w:bCs/>
                <w:sz w:val="28"/>
                <w:szCs w:val="28"/>
              </w:rPr>
            </w:pPr>
          </w:p>
        </w:tc>
      </w:tr>
      <w:tr w14:paraId="7B64558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tblCellMar>
            <w:top w:w="0" w:type="dxa"/>
            <w:left w:w="0" w:type="dxa"/>
            <w:bottom w:w="0" w:type="dxa"/>
            <w:right w:w="0" w:type="dxa"/>
          </w:tblCellMar>
        </w:tblPrEx>
        <w:trPr>
          <w:trHeight w:val="5292" w:hRule="atLeast"/>
        </w:trPr>
        <w:tc>
          <w:tcPr>
            <w:tcW w:w="53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14:paraId="15C6B314">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sz w:val="20"/>
                <w:szCs w:val="20"/>
                <w:bdr w:val="none" w:color="auto" w:sz="0" w:space="0"/>
              </w:rPr>
              <w:t xml:space="preserve">1 </w:t>
            </w:r>
          </w:p>
        </w:tc>
        <w:tc>
          <w:tcPr>
            <w:tcW w:w="125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1C7EB6E">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sz w:val="20"/>
                <w:szCs w:val="20"/>
                <w:bdr w:val="none" w:color="auto" w:sz="0" w:space="0"/>
              </w:rPr>
              <w:t>对统计调查对象遵守统计法律法规规章、统计调查制度情况的</w:t>
            </w:r>
            <w:r>
              <w:rPr>
                <w:rFonts w:hint="eastAsia" w:ascii="宋体" w:hAnsi="宋体" w:eastAsia="宋体" w:cs="宋体"/>
                <w:sz w:val="20"/>
                <w:szCs w:val="20"/>
                <w:bdr w:val="none" w:color="auto" w:sz="0" w:space="0"/>
                <w:lang w:val="en-US" w:eastAsia="zh-CN"/>
              </w:rPr>
              <w:t>检</w:t>
            </w:r>
            <w:r>
              <w:rPr>
                <w:rFonts w:hint="eastAsia" w:ascii="宋体" w:hAnsi="宋体" w:eastAsia="宋体" w:cs="宋体"/>
                <w:sz w:val="20"/>
                <w:szCs w:val="20"/>
                <w:bdr w:val="none" w:color="auto" w:sz="0" w:space="0"/>
              </w:rPr>
              <w:t xml:space="preserve">查 </w:t>
            </w:r>
          </w:p>
        </w:tc>
        <w:tc>
          <w:tcPr>
            <w:tcW w:w="11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17A0736">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sz w:val="20"/>
                <w:szCs w:val="20"/>
                <w:bdr w:val="none" w:color="auto" w:sz="0" w:space="0"/>
                <w:lang w:eastAsia="zh-CN"/>
              </w:rPr>
              <w:t>洛隆</w:t>
            </w:r>
            <w:r>
              <w:rPr>
                <w:rFonts w:hint="eastAsia" w:ascii="宋体" w:hAnsi="宋体" w:eastAsia="宋体" w:cs="宋体"/>
                <w:sz w:val="20"/>
                <w:szCs w:val="20"/>
                <w:bdr w:val="none" w:color="auto" w:sz="0" w:space="0"/>
              </w:rPr>
              <w:t xml:space="preserve">县统计局 </w:t>
            </w:r>
          </w:p>
        </w:tc>
        <w:tc>
          <w:tcPr>
            <w:tcW w:w="117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732B36D">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sz w:val="20"/>
                <w:szCs w:val="20"/>
                <w:bdr w:val="none" w:color="auto" w:sz="0" w:space="0"/>
                <w:lang w:eastAsia="zh-CN"/>
              </w:rPr>
              <w:t>洛隆</w:t>
            </w:r>
            <w:r>
              <w:rPr>
                <w:rFonts w:hint="eastAsia" w:ascii="宋体" w:hAnsi="宋体" w:eastAsia="宋体" w:cs="宋体"/>
                <w:sz w:val="20"/>
                <w:szCs w:val="20"/>
                <w:bdr w:val="none" w:color="auto" w:sz="0" w:space="0"/>
              </w:rPr>
              <w:t xml:space="preserve">县统计局 </w:t>
            </w:r>
          </w:p>
        </w:tc>
        <w:tc>
          <w:tcPr>
            <w:tcW w:w="117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7358845">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sz w:val="20"/>
                <w:szCs w:val="20"/>
                <w:bdr w:val="none" w:color="auto" w:sz="0" w:space="0"/>
              </w:rPr>
              <w:t xml:space="preserve">联网直报企业（项目） </w:t>
            </w:r>
          </w:p>
        </w:tc>
        <w:tc>
          <w:tcPr>
            <w:tcW w:w="708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E4EDE08">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bdr w:val="none" w:color="auto" w:sz="0" w:space="0"/>
              </w:rPr>
              <w:t>1.《中华人民共和国统计法》</w:t>
            </w:r>
            <w:r>
              <w:rPr>
                <w:rFonts w:hint="default" w:ascii="Times New Roman" w:hAnsi="Times New Roman" w:eastAsia="宋体" w:cs="Times New Roman"/>
                <w:sz w:val="20"/>
                <w:szCs w:val="20"/>
                <w:bdr w:val="none" w:color="auto" w:sz="0" w:space="0"/>
              </w:rPr>
              <w:t xml:space="preserve"> </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第六条</w:t>
            </w:r>
            <w:r>
              <w:rPr>
                <w:rFonts w:hint="default" w:ascii="Times New Roman" w:hAnsi="Times New Roman" w:eastAsia="宋体" w:cs="Times New Roman"/>
                <w:sz w:val="20"/>
                <w:szCs w:val="20"/>
                <w:bdr w:val="none" w:color="auto" w:sz="0" w:space="0"/>
              </w:rPr>
              <w:t xml:space="preserve"> </w:t>
            </w:r>
            <w:r>
              <w:rPr>
                <w:rFonts w:hint="eastAsia" w:ascii="宋体" w:hAnsi="宋体" w:eastAsia="宋体" w:cs="宋体"/>
                <w:sz w:val="20"/>
                <w:szCs w:val="20"/>
                <w:bdr w:val="none" w:color="auto" w:sz="0" w:space="0"/>
              </w:rPr>
              <w:t>国家构建系统完整、协同高效、约束有力、权威可靠的统计监督体系。</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统计机构根据统计调查制度和经批准的计划安排，对各地区、各部门贯彻落实国家重大经济社会政策措施情况、履行统计法定职责情况等进行统计监督。</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第八条</w:t>
            </w:r>
            <w:r>
              <w:rPr>
                <w:rFonts w:hint="default" w:ascii="Times New Roman" w:hAnsi="Times New Roman" w:eastAsia="宋体" w:cs="Times New Roman"/>
                <w:sz w:val="20"/>
                <w:szCs w:val="20"/>
                <w:bdr w:val="none" w:color="auto" w:sz="0" w:space="0"/>
              </w:rPr>
              <w:t xml:space="preserve"> </w:t>
            </w:r>
            <w:r>
              <w:rPr>
                <w:rFonts w:hint="eastAsia" w:ascii="宋体" w:hAnsi="宋体" w:eastAsia="宋体" w:cs="宋体"/>
                <w:sz w:val="20"/>
                <w:szCs w:val="20"/>
                <w:bdr w:val="none" w:color="auto" w:sz="0" w:space="0"/>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2.《中华人民共和国统计法实施条例》</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第四条 地方人民政府、县级以上人民政府统计机构和有关部门应当根据国家有关规定，明确本单位防范和惩治统计造假、弄虚作假的责任主体，严格执行统计法和本条例的规定。</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  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 xml:space="preserve">  统计调查对象应当依照统计法和国家有关规定，真实、准确、完整、及时地提供统计资料，拒绝、抵制弄虚作假等违法行为。 </w:t>
            </w:r>
          </w:p>
        </w:tc>
        <w:tc>
          <w:tcPr>
            <w:tcW w:w="82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C8EBA8E">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sz w:val="20"/>
                <w:szCs w:val="20"/>
                <w:bdr w:val="none" w:color="auto" w:sz="0" w:space="0"/>
              </w:rPr>
              <w:t xml:space="preserve">县级 </w:t>
            </w:r>
          </w:p>
        </w:tc>
        <w:tc>
          <w:tcPr>
            <w:tcW w:w="891" w:type="dxa"/>
            <w:tcBorders>
              <w:top w:val="single" w:color="000000" w:sz="4" w:space="0"/>
              <w:left w:val="single" w:color="000000" w:sz="4" w:space="0"/>
              <w:bottom w:val="single" w:color="000000" w:sz="4" w:space="0"/>
              <w:right w:val="nil"/>
            </w:tcBorders>
            <w:shd w:val="clear"/>
            <w:tcMar>
              <w:top w:w="12" w:type="dxa"/>
              <w:left w:w="12" w:type="dxa"/>
              <w:right w:w="12" w:type="dxa"/>
            </w:tcMar>
            <w:vAlign w:val="center"/>
          </w:tcPr>
          <w:p w14:paraId="238FB699">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sz w:val="20"/>
                <w:szCs w:val="20"/>
                <w:bdr w:val="none" w:color="auto" w:sz="0" w:space="0"/>
              </w:rPr>
              <w:t xml:space="preserve">县级 </w:t>
            </w:r>
          </w:p>
        </w:tc>
        <w:tc>
          <w:tcPr>
            <w:tcW w:w="9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0357065">
            <w:pPr>
              <w:jc w:val="center"/>
              <w:rPr>
                <w:rFonts w:hint="eastAsia" w:ascii="宋体" w:hAnsi="宋体" w:eastAsia="宋体" w:cs="宋体"/>
                <w:sz w:val="20"/>
                <w:szCs w:val="20"/>
              </w:rPr>
            </w:pPr>
          </w:p>
        </w:tc>
      </w:tr>
    </w:tbl>
    <w:p w14:paraId="4AFCD018">
      <w:pPr>
        <w:pStyle w:val="9"/>
        <w:keepNext w:val="0"/>
        <w:keepLines w:val="0"/>
        <w:widowControl/>
        <w:suppressLineNumbers w:val="0"/>
        <w:spacing w:line="451" w:lineRule="auto"/>
      </w:pPr>
    </w:p>
    <w:sectPr>
      <w:pgSz w:w="16839" w:h="11906" w:orient="landscape"/>
      <w:pgMar w:top="1800" w:right="1440" w:bottom="1800" w:left="144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A67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table"/>
    <w:basedOn w:val="1"/>
    <w:uiPriority w:val="0"/>
    <w:pPr>
      <w:pBdr>
        <w:top w:val="single" w:color="333333" w:sz="4" w:space="0"/>
        <w:left w:val="single" w:color="333333" w:sz="4" w:space="0"/>
        <w:bottom w:val="single" w:color="333333" w:sz="4" w:space="0"/>
        <w:right w:val="single" w:color="333333" w:sz="4" w:space="0"/>
      </w:pBdr>
      <w:jc w:val="left"/>
    </w:pPr>
    <w:rPr>
      <w:kern w:val="0"/>
      <w:lang w:val="en-US" w:eastAsia="zh-CN" w:bidi="ar"/>
    </w:rPr>
  </w:style>
  <w:style w:type="paragraph" w:customStyle="1" w:styleId="13">
    <w:name w:val="m-dttexts"/>
    <w:basedOn w:val="1"/>
    <w:uiPriority w:val="0"/>
    <w:pPr>
      <w:spacing w:line="451" w:lineRule="auto"/>
      <w:jc w:val="left"/>
    </w:pPr>
    <w:rPr>
      <w:kern w:val="0"/>
      <w:sz w:val="19"/>
      <w:szCs w:val="19"/>
      <w:lang w:val="en-US" w:eastAsia="zh-CN" w:bidi="ar"/>
    </w:rPr>
  </w:style>
  <w:style w:type="paragraph" w:customStyle="1" w:styleId="14">
    <w:name w:val="u-title"/>
    <w:basedOn w:val="1"/>
    <w:uiPriority w:val="0"/>
    <w:pPr>
      <w:spacing w:before="180" w:beforeAutospacing="0" w:after="180" w:afterAutospacing="0"/>
      <w:ind w:left="0" w:right="0"/>
      <w:jc w:val="center"/>
    </w:pPr>
    <w:rPr>
      <w:kern w:val="0"/>
      <w:sz w:val="36"/>
      <w:szCs w:val="36"/>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638</Words>
  <Characters>670</Characters>
  <TotalTime>5</TotalTime>
  <ScaleCrop>false</ScaleCrop>
  <LinksUpToDate>false</LinksUpToDate>
  <CharactersWithSpaces>694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2025-05-29T04:40:29Z</dcterms:created>
  <dc:creator>Administrator</dc:creator>
  <cp:lastModifiedBy>〜根〜</cp:lastModifiedBy>
  <cp:lastPrinted>2025-05-29T04:47:18Z</cp:lastPrinted>
  <dcterms:modified xsi:type="dcterms:W3CDTF">2025-05-29T04:47:44Z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eyJoZGlkIjoiMGRiMThhNzg3MDE4ZjlhZDhkOGM2MWJhYWY5YTczN2QiLCJ1c2VySWQiOiIzMTM2NjMzNjEifQ==</vt:lpwstr>
  </property>
  <property fmtid="{D5CDD505-2E9C-101B-9397-08002B2CF9AE}" pid="3" name="KSOProductBuildVer">
    <vt:lpwstr>2052-12.1.0.21171</vt:lpwstr>
  </property>
  <property fmtid="{D5CDD505-2E9C-101B-9397-08002B2CF9AE}" pid="4" name="ICV">
    <vt:lpwstr>01A8E266C2414F8ABECEE1514CA3E285_13</vt:lpwstr>
  </property>
</Properties>
</file>