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9F2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left="0" w:right="0" w:firstLine="420"/>
        <w:jc w:val="center"/>
        <w:rPr>
          <w:rFonts w:hint="eastAsia" w:ascii="方正小标宋简体" w:hAnsi="方正小标宋简体" w:eastAsia="方正小标宋简体" w:cs="方正小标宋简体"/>
          <w:i w:val="0"/>
          <w:iCs w:val="0"/>
          <w:caps w:val="0"/>
          <w:color w:val="333333"/>
          <w:spacing w:val="0"/>
          <w:sz w:val="44"/>
          <w:szCs w:val="44"/>
        </w:rPr>
      </w:pPr>
      <w:r>
        <w:rPr>
          <w:rStyle w:val="6"/>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洛隆</w:t>
      </w:r>
      <w:r>
        <w:rPr>
          <w:rStyle w:val="6"/>
          <w:rFonts w:hint="eastAsia" w:ascii="方正小标宋简体" w:hAnsi="方正小标宋简体" w:eastAsia="方正小标宋简体" w:cs="方正小标宋简体"/>
          <w:i w:val="0"/>
          <w:iCs w:val="0"/>
          <w:caps w:val="0"/>
          <w:color w:val="333333"/>
          <w:spacing w:val="0"/>
          <w:sz w:val="44"/>
          <w:szCs w:val="44"/>
          <w:shd w:val="clear" w:fill="FFFFFF"/>
        </w:rPr>
        <w:t>县市场监督管理局</w:t>
      </w:r>
    </w:p>
    <w:p w14:paraId="453B48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方正小标宋简体" w:hAnsi="方正小标宋简体" w:eastAsia="方正小标宋简体" w:cs="方正小标宋简体"/>
          <w:i w:val="0"/>
          <w:iCs w:val="0"/>
          <w:caps w:val="0"/>
          <w:color w:val="333333"/>
          <w:spacing w:val="0"/>
          <w:sz w:val="44"/>
          <w:szCs w:val="44"/>
        </w:rPr>
      </w:pPr>
      <w:r>
        <w:rPr>
          <w:rStyle w:val="6"/>
          <w:rFonts w:hint="eastAsia" w:ascii="方正小标宋简体" w:hAnsi="方正小标宋简体" w:eastAsia="方正小标宋简体" w:cs="方正小标宋简体"/>
          <w:i w:val="0"/>
          <w:iCs w:val="0"/>
          <w:caps w:val="0"/>
          <w:color w:val="333333"/>
          <w:spacing w:val="0"/>
          <w:sz w:val="44"/>
          <w:szCs w:val="44"/>
          <w:shd w:val="clear" w:fill="FFFFFF"/>
        </w:rPr>
        <w:t>政府信息主动公开目录清单</w:t>
      </w:r>
    </w:p>
    <w:tbl>
      <w:tblPr>
        <w:tblStyle w:val="4"/>
        <w:tblW w:w="14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47"/>
        <w:gridCol w:w="1667"/>
        <w:gridCol w:w="1895"/>
        <w:gridCol w:w="6542"/>
        <w:gridCol w:w="2149"/>
      </w:tblGrid>
      <w:tr w14:paraId="072C5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214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73709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ascii="黑体" w:hAnsi="宋体" w:eastAsia="黑体" w:cs="黑体"/>
              </w:rPr>
              <w:t>事项类别</w:t>
            </w:r>
          </w:p>
        </w:tc>
        <w:tc>
          <w:tcPr>
            <w:tcW w:w="1667"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3CCA27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黑体" w:hAnsi="宋体" w:eastAsia="黑体" w:cs="黑体"/>
              </w:rPr>
              <w:t>事项名称</w:t>
            </w:r>
          </w:p>
        </w:tc>
        <w:tc>
          <w:tcPr>
            <w:tcW w:w="8437" w:type="dxa"/>
            <w:gridSpan w:val="2"/>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4DBE5B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黑体" w:hAnsi="宋体" w:eastAsia="黑体" w:cs="黑体"/>
              </w:rPr>
              <w:t>公开内容</w:t>
            </w:r>
          </w:p>
        </w:tc>
        <w:tc>
          <w:tcPr>
            <w:tcW w:w="2149"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21FD77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t>责任股室</w:t>
            </w:r>
          </w:p>
        </w:tc>
      </w:tr>
      <w:tr w14:paraId="3EDDB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5" w:hRule="atLeast"/>
        </w:trPr>
        <w:tc>
          <w:tcPr>
            <w:tcW w:w="214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29AECB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黑体" w:hAnsi="宋体" w:eastAsia="黑体" w:cs="黑体"/>
                <w:sz w:val="32"/>
                <w:szCs w:val="32"/>
              </w:rPr>
              <w:t>一、政府信息公开指南</w:t>
            </w:r>
          </w:p>
        </w:tc>
        <w:tc>
          <w:tcPr>
            <w:tcW w:w="1667"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E9F3E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政府信息公开指南</w:t>
            </w:r>
          </w:p>
        </w:tc>
        <w:tc>
          <w:tcPr>
            <w:tcW w:w="8437"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14:paraId="228783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政府信息获取方式、政府信息公开工作机构名称、办公地址、办公时间、联系电话、传真号码、互联网联系方式、监督和救济途径、投诉举报受理等内容</w:t>
            </w:r>
          </w:p>
        </w:tc>
        <w:tc>
          <w:tcPr>
            <w:tcW w:w="2149"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B72D3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eastAsiaTheme="minorEastAsia"/>
                <w:sz w:val="32"/>
                <w:szCs w:val="32"/>
                <w:lang w:eastAsia="zh-CN"/>
              </w:rPr>
            </w:pPr>
            <w:r>
              <w:rPr>
                <w:rFonts w:hint="eastAsia" w:ascii="宋体" w:hAnsi="宋体" w:eastAsia="宋体" w:cs="宋体"/>
                <w:sz w:val="32"/>
                <w:szCs w:val="32"/>
                <w:lang w:val="en-US" w:eastAsia="zh-CN"/>
              </w:rPr>
              <w:t>办公室</w:t>
            </w:r>
          </w:p>
        </w:tc>
      </w:tr>
      <w:tr w14:paraId="75E74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trPr>
        <w:tc>
          <w:tcPr>
            <w:tcW w:w="2147"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1647B0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黑体" w:hAnsi="宋体" w:eastAsia="黑体" w:cs="黑体"/>
                <w:sz w:val="32"/>
                <w:szCs w:val="32"/>
              </w:rPr>
              <w:t>二、政府信息公开制度</w:t>
            </w:r>
          </w:p>
        </w:tc>
        <w:tc>
          <w:tcPr>
            <w:tcW w:w="1667"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14:paraId="28833C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政府信息公开制度</w:t>
            </w:r>
          </w:p>
        </w:tc>
        <w:tc>
          <w:tcPr>
            <w:tcW w:w="189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21C34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国家关于政府信息公开有关规定</w:t>
            </w:r>
          </w:p>
        </w:tc>
        <w:tc>
          <w:tcPr>
            <w:tcW w:w="6542"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F0908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中华人民共和国政府信息公开条例》《中华人民共和国网络安全法》、国务院办公厅关于印发《政府信息公开信息处理费管理办法》的通知、国务院办公厅关于印发《公共企事业单位信息公开规定制走办法》的通知等法律法规规章</w:t>
            </w:r>
          </w:p>
        </w:tc>
        <w:tc>
          <w:tcPr>
            <w:tcW w:w="214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7E664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办公室</w:t>
            </w:r>
          </w:p>
        </w:tc>
      </w:tr>
      <w:tr w14:paraId="7EA25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2147"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0008CDF1">
            <w:pPr>
              <w:rPr>
                <w:rFonts w:hint="eastAsia" w:ascii="宋体"/>
                <w:sz w:val="32"/>
                <w:szCs w:val="32"/>
              </w:rPr>
            </w:pPr>
          </w:p>
        </w:tc>
        <w:tc>
          <w:tcPr>
            <w:tcW w:w="1667"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14:paraId="61CDAB0A">
            <w:pPr>
              <w:rPr>
                <w:rFonts w:hint="eastAsia" w:ascii="宋体"/>
                <w:sz w:val="32"/>
                <w:szCs w:val="32"/>
              </w:rPr>
            </w:pPr>
          </w:p>
        </w:tc>
        <w:tc>
          <w:tcPr>
            <w:tcW w:w="189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5CE11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政府信息公开制度</w:t>
            </w:r>
          </w:p>
        </w:tc>
        <w:tc>
          <w:tcPr>
            <w:tcW w:w="6542"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C628A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本单位政府信息主动公开、依申请公开、政务舆情回应、规范性文件类信息公开审核、政府信息公开保密审查等制度</w:t>
            </w:r>
          </w:p>
        </w:tc>
        <w:tc>
          <w:tcPr>
            <w:tcW w:w="2149"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7BD01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办公室</w:t>
            </w:r>
          </w:p>
        </w:tc>
      </w:tr>
      <w:tr w14:paraId="4C8AB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147"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6E7C4B29">
            <w:pPr>
              <w:rPr>
                <w:rFonts w:hint="eastAsia" w:ascii="宋体"/>
                <w:sz w:val="32"/>
                <w:szCs w:val="32"/>
              </w:rPr>
            </w:pPr>
          </w:p>
        </w:tc>
        <w:tc>
          <w:tcPr>
            <w:tcW w:w="1667"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14:paraId="3F6B3270">
            <w:pPr>
              <w:rPr>
                <w:rFonts w:hint="eastAsia" w:ascii="宋体"/>
                <w:sz w:val="32"/>
                <w:szCs w:val="32"/>
              </w:rPr>
            </w:pPr>
          </w:p>
        </w:tc>
        <w:tc>
          <w:tcPr>
            <w:tcW w:w="189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859EF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政府信息公开要点</w:t>
            </w:r>
          </w:p>
        </w:tc>
        <w:tc>
          <w:tcPr>
            <w:tcW w:w="6542"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E9911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年度政务公开要点等相关内容</w:t>
            </w:r>
          </w:p>
        </w:tc>
        <w:tc>
          <w:tcPr>
            <w:tcW w:w="2149"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9A940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eastAsiaTheme="minorEastAsia"/>
                <w:sz w:val="32"/>
                <w:szCs w:val="32"/>
                <w:lang w:eastAsia="zh-CN"/>
              </w:rPr>
            </w:pPr>
            <w:r>
              <w:rPr>
                <w:rFonts w:hint="eastAsia" w:ascii="宋体" w:hAnsi="宋体" w:eastAsia="宋体" w:cs="宋体"/>
                <w:sz w:val="32"/>
                <w:szCs w:val="32"/>
                <w:lang w:val="en-US" w:eastAsia="zh-CN"/>
              </w:rPr>
              <w:t>办公室</w:t>
            </w:r>
          </w:p>
        </w:tc>
      </w:tr>
      <w:tr w14:paraId="56ED7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147" w:type="dxa"/>
            <w:vMerge w:val="restart"/>
            <w:tcBorders>
              <w:top w:val="nil"/>
              <w:left w:val="single" w:color="000000" w:sz="6" w:space="0"/>
              <w:bottom w:val="nil"/>
              <w:right w:val="single" w:color="000000" w:sz="6" w:space="0"/>
            </w:tcBorders>
            <w:shd w:val="clear" w:color="auto" w:fill="FFFFFF"/>
            <w:tcMar>
              <w:left w:w="105" w:type="dxa"/>
              <w:right w:w="105" w:type="dxa"/>
            </w:tcMar>
            <w:vAlign w:val="center"/>
          </w:tcPr>
          <w:p w14:paraId="1A23C6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黑体" w:hAnsi="宋体" w:eastAsia="黑体" w:cs="黑体"/>
                <w:sz w:val="32"/>
                <w:szCs w:val="32"/>
              </w:rPr>
              <w:t>三、法定主动公开</w:t>
            </w:r>
          </w:p>
        </w:tc>
        <w:tc>
          <w:tcPr>
            <w:tcW w:w="1667"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F1A51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领导介绍</w:t>
            </w:r>
          </w:p>
        </w:tc>
        <w:tc>
          <w:tcPr>
            <w:tcW w:w="8437"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14:paraId="7BAE92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领导班子成员姓名、职务、工作职责等</w:t>
            </w:r>
          </w:p>
        </w:tc>
        <w:tc>
          <w:tcPr>
            <w:tcW w:w="2149"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39C93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办公室</w:t>
            </w:r>
          </w:p>
        </w:tc>
      </w:tr>
      <w:tr w14:paraId="621C9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2147" w:type="dxa"/>
            <w:vMerge w:val="continue"/>
            <w:tcBorders>
              <w:top w:val="nil"/>
              <w:left w:val="single" w:color="000000" w:sz="6" w:space="0"/>
              <w:bottom w:val="nil"/>
              <w:right w:val="single" w:color="000000" w:sz="6" w:space="0"/>
            </w:tcBorders>
            <w:shd w:val="clear" w:color="auto" w:fill="FFFFFF"/>
            <w:tcMar>
              <w:left w:w="105" w:type="dxa"/>
              <w:right w:w="105" w:type="dxa"/>
            </w:tcMar>
            <w:vAlign w:val="center"/>
          </w:tcPr>
          <w:p w14:paraId="6E1BB264">
            <w:pPr>
              <w:rPr>
                <w:rFonts w:hint="eastAsia" w:ascii="宋体"/>
                <w:sz w:val="32"/>
                <w:szCs w:val="32"/>
              </w:rPr>
            </w:pPr>
          </w:p>
        </w:tc>
        <w:tc>
          <w:tcPr>
            <w:tcW w:w="1667"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6472A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机构职能</w:t>
            </w:r>
          </w:p>
        </w:tc>
        <w:tc>
          <w:tcPr>
            <w:tcW w:w="8437"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14:paraId="51C1D2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机构名称、“三定”方案确定的本部门最新法定职能、办公地址、办公电话、传真、通信地址、邮政编码等内容</w:t>
            </w:r>
          </w:p>
        </w:tc>
        <w:tc>
          <w:tcPr>
            <w:tcW w:w="2149"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CAF19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办公室</w:t>
            </w:r>
          </w:p>
        </w:tc>
      </w:tr>
      <w:tr w14:paraId="26051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147" w:type="dxa"/>
            <w:vMerge w:val="continue"/>
            <w:tcBorders>
              <w:top w:val="nil"/>
              <w:left w:val="single" w:color="000000" w:sz="6" w:space="0"/>
              <w:bottom w:val="nil"/>
              <w:right w:val="single" w:color="000000" w:sz="6" w:space="0"/>
            </w:tcBorders>
            <w:shd w:val="clear" w:color="auto" w:fill="FFFFFF"/>
            <w:tcMar>
              <w:left w:w="105" w:type="dxa"/>
              <w:right w:w="105" w:type="dxa"/>
            </w:tcMar>
            <w:vAlign w:val="center"/>
          </w:tcPr>
          <w:p w14:paraId="74BED078">
            <w:pPr>
              <w:rPr>
                <w:rFonts w:hint="eastAsia" w:ascii="宋体"/>
                <w:sz w:val="32"/>
                <w:szCs w:val="32"/>
              </w:rPr>
            </w:pPr>
          </w:p>
        </w:tc>
        <w:tc>
          <w:tcPr>
            <w:tcW w:w="1667"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7B8FF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政策文件</w:t>
            </w:r>
          </w:p>
        </w:tc>
        <w:tc>
          <w:tcPr>
            <w:tcW w:w="8437"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14:paraId="6C8A50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本单位或牵头制定的有关市场监督管理方面的行政规范性文件文件等</w:t>
            </w:r>
          </w:p>
        </w:tc>
        <w:tc>
          <w:tcPr>
            <w:tcW w:w="2149"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76F41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eastAsia="宋体"/>
                <w:sz w:val="32"/>
                <w:szCs w:val="32"/>
                <w:lang w:eastAsia="zh-CN"/>
              </w:rPr>
            </w:pPr>
            <w:r>
              <w:rPr>
                <w:rFonts w:hint="eastAsia" w:ascii="宋体" w:hAnsi="宋体" w:eastAsia="宋体" w:cs="宋体"/>
                <w:sz w:val="32"/>
                <w:szCs w:val="32"/>
              </w:rPr>
              <w:t>各相关</w:t>
            </w:r>
            <w:r>
              <w:rPr>
                <w:rFonts w:hint="eastAsia" w:ascii="宋体" w:hAnsi="宋体" w:eastAsia="宋体" w:cs="宋体"/>
                <w:sz w:val="32"/>
                <w:szCs w:val="32"/>
                <w:lang w:val="en-US" w:eastAsia="zh-CN"/>
              </w:rPr>
              <w:t>人员</w:t>
            </w:r>
          </w:p>
        </w:tc>
      </w:tr>
      <w:tr w14:paraId="6235F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2147" w:type="dxa"/>
            <w:vMerge w:val="continue"/>
            <w:tcBorders>
              <w:top w:val="nil"/>
              <w:left w:val="single" w:color="000000" w:sz="6" w:space="0"/>
              <w:bottom w:val="nil"/>
              <w:right w:val="single" w:color="000000" w:sz="6" w:space="0"/>
            </w:tcBorders>
            <w:shd w:val="clear" w:color="auto" w:fill="FFFFFF"/>
            <w:tcMar>
              <w:left w:w="105" w:type="dxa"/>
              <w:right w:w="105" w:type="dxa"/>
            </w:tcMar>
            <w:vAlign w:val="center"/>
          </w:tcPr>
          <w:p w14:paraId="05BAD28C">
            <w:pPr>
              <w:rPr>
                <w:rFonts w:hint="eastAsia" w:ascii="宋体"/>
                <w:sz w:val="32"/>
                <w:szCs w:val="32"/>
              </w:rPr>
            </w:pPr>
          </w:p>
        </w:tc>
        <w:tc>
          <w:tcPr>
            <w:tcW w:w="1667"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5B9AE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政策解读</w:t>
            </w:r>
          </w:p>
        </w:tc>
        <w:tc>
          <w:tcPr>
            <w:tcW w:w="8437"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14:paraId="007851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对本单位或牵头制定的行政规范性文件，从制定背景、实施意义、主要措施等方面进行解读</w:t>
            </w:r>
          </w:p>
        </w:tc>
        <w:tc>
          <w:tcPr>
            <w:tcW w:w="2149"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9779A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eastAsia="宋体"/>
                <w:sz w:val="32"/>
                <w:szCs w:val="32"/>
                <w:lang w:eastAsia="zh-CN"/>
              </w:rPr>
            </w:pPr>
            <w:r>
              <w:rPr>
                <w:rFonts w:hint="eastAsia" w:ascii="宋体" w:hAnsi="宋体" w:eastAsia="宋体" w:cs="宋体"/>
                <w:sz w:val="32"/>
                <w:szCs w:val="32"/>
              </w:rPr>
              <w:t>各相关</w:t>
            </w:r>
            <w:r>
              <w:rPr>
                <w:rFonts w:hint="eastAsia" w:ascii="宋体" w:hAnsi="宋体" w:eastAsia="宋体" w:cs="宋体"/>
                <w:sz w:val="32"/>
                <w:szCs w:val="32"/>
                <w:lang w:val="en-US" w:eastAsia="zh-CN"/>
              </w:rPr>
              <w:t>人员</w:t>
            </w:r>
          </w:p>
        </w:tc>
      </w:tr>
      <w:tr w14:paraId="53DF9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2147" w:type="dxa"/>
            <w:vMerge w:val="continue"/>
            <w:tcBorders>
              <w:top w:val="nil"/>
              <w:left w:val="single" w:color="000000" w:sz="6" w:space="0"/>
              <w:bottom w:val="nil"/>
              <w:right w:val="single" w:color="000000" w:sz="6" w:space="0"/>
            </w:tcBorders>
            <w:shd w:val="clear" w:color="auto" w:fill="FFFFFF"/>
            <w:tcMar>
              <w:left w:w="105" w:type="dxa"/>
              <w:right w:w="105" w:type="dxa"/>
            </w:tcMar>
            <w:vAlign w:val="center"/>
          </w:tcPr>
          <w:p w14:paraId="4C378407">
            <w:pPr>
              <w:rPr>
                <w:rFonts w:hint="eastAsia" w:ascii="宋体"/>
                <w:sz w:val="32"/>
                <w:szCs w:val="32"/>
              </w:rPr>
            </w:pPr>
          </w:p>
        </w:tc>
        <w:tc>
          <w:tcPr>
            <w:tcW w:w="1667"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652B0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财政预决算及三公经费</w:t>
            </w:r>
          </w:p>
        </w:tc>
        <w:tc>
          <w:tcPr>
            <w:tcW w:w="8437"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14:paraId="2F2E74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单位及下属单位年度财政预算、财政决算报告及各类报表等</w:t>
            </w:r>
          </w:p>
        </w:tc>
        <w:tc>
          <w:tcPr>
            <w:tcW w:w="2149"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79F37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办公室</w:t>
            </w:r>
          </w:p>
        </w:tc>
      </w:tr>
      <w:tr w14:paraId="0D65D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2147" w:type="dxa"/>
            <w:vMerge w:val="continue"/>
            <w:tcBorders>
              <w:top w:val="nil"/>
              <w:left w:val="single" w:color="000000" w:sz="6" w:space="0"/>
              <w:bottom w:val="nil"/>
              <w:right w:val="single" w:color="000000" w:sz="6" w:space="0"/>
            </w:tcBorders>
            <w:shd w:val="clear" w:color="auto" w:fill="FFFFFF"/>
            <w:tcMar>
              <w:left w:w="105" w:type="dxa"/>
              <w:right w:w="105" w:type="dxa"/>
            </w:tcMar>
            <w:vAlign w:val="center"/>
          </w:tcPr>
          <w:p w14:paraId="701583FF">
            <w:pPr>
              <w:rPr>
                <w:rFonts w:hint="eastAsia" w:ascii="宋体"/>
                <w:sz w:val="32"/>
                <w:szCs w:val="32"/>
              </w:rPr>
            </w:pPr>
          </w:p>
        </w:tc>
        <w:tc>
          <w:tcPr>
            <w:tcW w:w="1667" w:type="dxa"/>
            <w:tcBorders>
              <w:top w:val="nil"/>
              <w:left w:val="nil"/>
              <w:bottom w:val="nil"/>
              <w:right w:val="single" w:color="000000" w:sz="6" w:space="0"/>
            </w:tcBorders>
            <w:shd w:val="clear" w:color="auto" w:fill="FFFFFF"/>
            <w:tcMar>
              <w:left w:w="105" w:type="dxa"/>
              <w:right w:w="105" w:type="dxa"/>
            </w:tcMar>
            <w:vAlign w:val="center"/>
          </w:tcPr>
          <w:p w14:paraId="420470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预算绩效信息</w:t>
            </w:r>
          </w:p>
        </w:tc>
        <w:tc>
          <w:tcPr>
            <w:tcW w:w="8437"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14:paraId="2300E2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年度单位整体财政经费支出绩效评价报告等内容</w:t>
            </w:r>
          </w:p>
        </w:tc>
        <w:tc>
          <w:tcPr>
            <w:tcW w:w="2149"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ACA32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办公室</w:t>
            </w:r>
          </w:p>
        </w:tc>
      </w:tr>
      <w:tr w14:paraId="1B991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2147" w:type="dxa"/>
            <w:vMerge w:val="continue"/>
            <w:tcBorders>
              <w:top w:val="nil"/>
              <w:left w:val="single" w:color="000000" w:sz="6" w:space="0"/>
              <w:bottom w:val="nil"/>
              <w:right w:val="single" w:color="000000" w:sz="6" w:space="0"/>
            </w:tcBorders>
            <w:shd w:val="clear" w:color="auto" w:fill="FFFFFF"/>
            <w:tcMar>
              <w:left w:w="105" w:type="dxa"/>
              <w:right w:w="105" w:type="dxa"/>
            </w:tcMar>
            <w:vAlign w:val="center"/>
          </w:tcPr>
          <w:p w14:paraId="5CEEA953">
            <w:pPr>
              <w:rPr>
                <w:rFonts w:hint="eastAsia" w:ascii="宋体"/>
                <w:sz w:val="32"/>
                <w:szCs w:val="32"/>
              </w:rPr>
            </w:pPr>
          </w:p>
        </w:tc>
        <w:tc>
          <w:tcPr>
            <w:tcW w:w="1667"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65CAB1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其他信息</w:t>
            </w:r>
          </w:p>
        </w:tc>
        <w:tc>
          <w:tcPr>
            <w:tcW w:w="8437"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14:paraId="27B534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公示、公告、行政处罚流程、依职权产生监督检查信息、重大民生信息、服务发展信息等</w:t>
            </w:r>
          </w:p>
        </w:tc>
        <w:tc>
          <w:tcPr>
            <w:tcW w:w="2149"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7D34D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eastAsia="宋体"/>
                <w:sz w:val="32"/>
                <w:szCs w:val="32"/>
                <w:lang w:eastAsia="zh-CN"/>
              </w:rPr>
            </w:pPr>
            <w:r>
              <w:rPr>
                <w:rFonts w:hint="eastAsia" w:ascii="宋体" w:hAnsi="宋体" w:eastAsia="宋体" w:cs="宋体"/>
                <w:sz w:val="32"/>
                <w:szCs w:val="32"/>
              </w:rPr>
              <w:t>各相关</w:t>
            </w:r>
            <w:r>
              <w:rPr>
                <w:rFonts w:hint="eastAsia" w:ascii="宋体" w:hAnsi="宋体" w:eastAsia="宋体" w:cs="宋体"/>
                <w:sz w:val="32"/>
                <w:szCs w:val="32"/>
                <w:lang w:val="en-US" w:eastAsia="zh-CN"/>
              </w:rPr>
              <w:t>人员</w:t>
            </w:r>
          </w:p>
        </w:tc>
      </w:tr>
      <w:tr w14:paraId="05F04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rPr>
        <w:tc>
          <w:tcPr>
            <w:tcW w:w="214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49B430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黑体" w:hAnsi="宋体" w:eastAsia="黑体" w:cs="黑体"/>
                <w:sz w:val="32"/>
                <w:szCs w:val="32"/>
              </w:rPr>
              <w:t>四、政府信息公开年报</w:t>
            </w:r>
          </w:p>
        </w:tc>
        <w:tc>
          <w:tcPr>
            <w:tcW w:w="1667"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0CC0C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政府信息公开年报</w:t>
            </w:r>
          </w:p>
        </w:tc>
        <w:tc>
          <w:tcPr>
            <w:tcW w:w="8437"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14:paraId="51526A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年度政府信息公开工作总结</w:t>
            </w:r>
          </w:p>
        </w:tc>
        <w:tc>
          <w:tcPr>
            <w:tcW w:w="2149"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253B1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办公室</w:t>
            </w:r>
          </w:p>
        </w:tc>
      </w:tr>
      <w:tr w14:paraId="3D4E9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214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52B856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黑体" w:hAnsi="宋体" w:eastAsia="黑体" w:cs="黑体"/>
                <w:sz w:val="32"/>
                <w:szCs w:val="32"/>
              </w:rPr>
              <w:t>五、政府信息公开工作落实情况</w:t>
            </w:r>
          </w:p>
        </w:tc>
        <w:tc>
          <w:tcPr>
            <w:tcW w:w="1667"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3D32E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政府信息公开工作落实情况</w:t>
            </w:r>
          </w:p>
        </w:tc>
        <w:tc>
          <w:tcPr>
            <w:tcW w:w="8437"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14:paraId="286536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年度政务公开工作成绩单、年度政务公开总结、政务公开考核反馈问题整改情况报告、重大行政执法检查工作总结等</w:t>
            </w:r>
          </w:p>
        </w:tc>
        <w:tc>
          <w:tcPr>
            <w:tcW w:w="2149"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87F29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办公室</w:t>
            </w:r>
          </w:p>
        </w:tc>
      </w:tr>
      <w:tr w14:paraId="681A5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214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1DBCD0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黑体" w:hAnsi="宋体" w:eastAsia="黑体" w:cs="黑体"/>
                <w:sz w:val="32"/>
                <w:szCs w:val="32"/>
              </w:rPr>
              <w:t>六、依申请公开</w:t>
            </w:r>
          </w:p>
        </w:tc>
        <w:tc>
          <w:tcPr>
            <w:tcW w:w="1667"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B8DB6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依申请公开</w:t>
            </w:r>
          </w:p>
        </w:tc>
        <w:tc>
          <w:tcPr>
            <w:tcW w:w="8437"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14:paraId="31B323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对个人、单位或其他组织提出的申请做出的各类答复、回复等意见内容</w:t>
            </w:r>
          </w:p>
        </w:tc>
        <w:tc>
          <w:tcPr>
            <w:tcW w:w="2149"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15AB2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32"/>
                <w:szCs w:val="32"/>
              </w:rPr>
            </w:pPr>
            <w:r>
              <w:rPr>
                <w:rFonts w:hint="eastAsia" w:ascii="宋体" w:hAnsi="宋体" w:eastAsia="宋体" w:cs="宋体"/>
                <w:sz w:val="32"/>
                <w:szCs w:val="32"/>
              </w:rPr>
              <w:t>办公室</w:t>
            </w:r>
          </w:p>
        </w:tc>
      </w:tr>
    </w:tbl>
    <w:p w14:paraId="2C17C3C2">
      <w:r>
        <w:br w:type="page"/>
      </w:r>
    </w:p>
    <w:p w14:paraId="5D2857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ind w:left="0" w:right="0" w:firstLine="0"/>
        <w:jc w:val="center"/>
        <w:rPr>
          <w:rStyle w:val="6"/>
          <w:rFonts w:hint="eastAsia" w:ascii="方正小标宋简体" w:hAnsi="方正小标宋简体" w:eastAsia="方正小标宋简体" w:cs="方正小标宋简体"/>
          <w:b/>
          <w:bCs w:val="0"/>
          <w:i w:val="0"/>
          <w:iCs w:val="0"/>
          <w:caps w:val="0"/>
          <w:color w:val="333333"/>
          <w:spacing w:val="0"/>
          <w:kern w:val="0"/>
          <w:sz w:val="44"/>
          <w:szCs w:val="44"/>
          <w:shd w:val="clear" w:fill="FFFFFF"/>
          <w:lang w:val="en-US" w:eastAsia="zh-CN" w:bidi="ar"/>
        </w:rPr>
      </w:pPr>
      <w:r>
        <w:rPr>
          <w:rStyle w:val="6"/>
          <w:rFonts w:hint="eastAsia" w:ascii="方正小标宋简体" w:hAnsi="方正小标宋简体" w:eastAsia="方正小标宋简体" w:cs="方正小标宋简体"/>
          <w:b/>
          <w:bCs w:val="0"/>
          <w:i w:val="0"/>
          <w:iCs w:val="0"/>
          <w:caps w:val="0"/>
          <w:color w:val="333333"/>
          <w:spacing w:val="0"/>
          <w:kern w:val="0"/>
          <w:sz w:val="44"/>
          <w:szCs w:val="44"/>
          <w:shd w:val="clear" w:fill="FFFFFF"/>
          <w:lang w:val="en-US" w:eastAsia="zh-CN" w:bidi="ar"/>
        </w:rPr>
        <w:t>洛隆县市场监督管理局</w:t>
      </w:r>
      <w:bookmarkStart w:id="0" w:name="_GoBack"/>
      <w:r>
        <w:rPr>
          <w:rStyle w:val="6"/>
          <w:rFonts w:hint="eastAsia" w:ascii="方正小标宋简体" w:hAnsi="方正小标宋简体" w:eastAsia="方正小标宋简体" w:cs="方正小标宋简体"/>
          <w:b/>
          <w:bCs w:val="0"/>
          <w:i w:val="0"/>
          <w:iCs w:val="0"/>
          <w:caps w:val="0"/>
          <w:color w:val="333333"/>
          <w:spacing w:val="0"/>
          <w:kern w:val="0"/>
          <w:sz w:val="44"/>
          <w:szCs w:val="44"/>
          <w:shd w:val="clear" w:fill="FFFFFF"/>
          <w:lang w:val="en-US" w:eastAsia="zh-CN" w:bidi="ar"/>
        </w:rPr>
        <w:t>政务公开负面清单</w:t>
      </w:r>
      <w:bookmarkEnd w:id="0"/>
    </w:p>
    <w:tbl>
      <w:tblPr>
        <w:tblW w:w="5161" w:type="pct"/>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64"/>
        <w:gridCol w:w="3811"/>
        <w:gridCol w:w="9787"/>
      </w:tblGrid>
      <w:tr w14:paraId="13377EF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31"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D756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序号</w:t>
            </w:r>
          </w:p>
        </w:tc>
        <w:tc>
          <w:tcPr>
            <w:tcW w:w="1308"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7D9B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不予公开事项名称</w:t>
            </w:r>
          </w:p>
        </w:tc>
        <w:tc>
          <w:tcPr>
            <w:tcW w:w="3359"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DD54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不予公开依据</w:t>
            </w:r>
          </w:p>
        </w:tc>
      </w:tr>
      <w:tr w14:paraId="10DD094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31"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C602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１</w:t>
            </w:r>
          </w:p>
        </w:tc>
        <w:tc>
          <w:tcPr>
            <w:tcW w:w="1308"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09AC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依法确定为国家秘密的政府信息</w:t>
            </w:r>
          </w:p>
        </w:tc>
        <w:tc>
          <w:tcPr>
            <w:tcW w:w="3359"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6712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《条例》第十四条：“依法确定为国家秘密的政府信息，法律、行政法规禁止公开的政府信息，以及公开后可能危及国家安全、公共安全、经济安全、社会稳定的政府信息，不予公开。”</w:t>
            </w:r>
          </w:p>
          <w:p w14:paraId="56D717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left"/>
              <w:rPr>
                <w:rFonts w:hint="eastAsia" w:ascii="仿宋_GB2312" w:hAnsi="仿宋_GB2312" w:eastAsia="仿宋_GB2312" w:cs="仿宋_GB2312"/>
                <w:sz w:val="32"/>
                <w:szCs w:val="32"/>
              </w:rPr>
            </w:pPr>
          </w:p>
        </w:tc>
      </w:tr>
      <w:tr w14:paraId="53BAE60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31"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C332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２</w:t>
            </w:r>
          </w:p>
        </w:tc>
        <w:tc>
          <w:tcPr>
            <w:tcW w:w="1308"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1AB1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公开后可能危及国家安全、经济安全、公共安全和社会稳定的政府信息</w:t>
            </w:r>
          </w:p>
          <w:p w14:paraId="5F3F34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left"/>
              <w:rPr>
                <w:rFonts w:hint="eastAsia" w:ascii="仿宋_GB2312" w:hAnsi="仿宋_GB2312" w:eastAsia="仿宋_GB2312" w:cs="仿宋_GB2312"/>
                <w:sz w:val="32"/>
                <w:szCs w:val="32"/>
              </w:rPr>
            </w:pPr>
          </w:p>
        </w:tc>
        <w:tc>
          <w:tcPr>
            <w:tcW w:w="3359"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631F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《条例》第十四条：“依法确定为国家秘密的政府信息，法律、行政法规禁止公开的政府信息，以及公开后可能危及国家安全、公共安全、经济安全、社会稳定的政府信息，不予公开。”</w:t>
            </w:r>
          </w:p>
          <w:p w14:paraId="3B5FDD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left"/>
              <w:rPr>
                <w:rFonts w:hint="eastAsia" w:ascii="仿宋_GB2312" w:hAnsi="仿宋_GB2312" w:eastAsia="仿宋_GB2312" w:cs="仿宋_GB2312"/>
                <w:sz w:val="32"/>
                <w:szCs w:val="32"/>
              </w:rPr>
            </w:pPr>
          </w:p>
        </w:tc>
      </w:tr>
      <w:tr w14:paraId="3E390D9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31"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A86A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３</w:t>
            </w:r>
          </w:p>
        </w:tc>
        <w:tc>
          <w:tcPr>
            <w:tcW w:w="1308"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0EF0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法律、行政法规禁止公开的政府信息（不构成国家秘密、商业秘密或者个人隐私，但法律或行政法规禁止公开的信息。）</w:t>
            </w:r>
          </w:p>
        </w:tc>
        <w:tc>
          <w:tcPr>
            <w:tcW w:w="3359"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187B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《条例》第十四条：“依法确定为国家秘密的政府信息，法律、行政法规禁止公开的政府信息，以及公开后可能危及国家安全、公共安全、经济安全、社会稳定的政府信息，不予公开。”</w:t>
            </w:r>
          </w:p>
        </w:tc>
      </w:tr>
      <w:tr w14:paraId="7192BB6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31"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6696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４</w:t>
            </w:r>
          </w:p>
        </w:tc>
        <w:tc>
          <w:tcPr>
            <w:tcW w:w="1308"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8169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涉及商业秘密、个人隐私的政府信息（涉及不为公众所知悉、具有商业价值并经权利人采取相应保密措施的技术信息、经营信息等商业信息；涉及他人身份、通讯、健康、婚姻、家庭、财产状况等个人隐私的，或能够识别公民个人身份的政府信息。经权利人同意公开或者行政机关认为不公开会对公共利益造成重大影响的，可以予以公开。）</w:t>
            </w:r>
          </w:p>
        </w:tc>
        <w:tc>
          <w:tcPr>
            <w:tcW w:w="3359"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4E28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《条例》第十五条：“涉及商业秘密、个人隐私等公开会对第三方合法权益造成损害的政府信息，行政机关不得公开。但是，第三方同意公开或者行政机关认为不公开会对公共利益造成重大影响的，予以公开。”</w:t>
            </w:r>
          </w:p>
          <w:p w14:paraId="53625B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left"/>
              <w:rPr>
                <w:rFonts w:hint="eastAsia" w:ascii="仿宋_GB2312" w:hAnsi="仿宋_GB2312" w:eastAsia="仿宋_GB2312" w:cs="仿宋_GB2312"/>
                <w:sz w:val="32"/>
                <w:szCs w:val="32"/>
              </w:rPr>
            </w:pPr>
          </w:p>
        </w:tc>
      </w:tr>
      <w:tr w14:paraId="02D24AD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31"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DD13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５</w:t>
            </w:r>
          </w:p>
        </w:tc>
        <w:tc>
          <w:tcPr>
            <w:tcW w:w="1308"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6B6D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三类内部事务信息（行政机关的内部事务信息，对公众的权利义务不产生直接影响，可以不予公开。）</w:t>
            </w:r>
          </w:p>
          <w:p w14:paraId="344AD9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left"/>
              <w:rPr>
                <w:rFonts w:hint="eastAsia" w:ascii="仿宋_GB2312" w:hAnsi="仿宋_GB2312" w:eastAsia="仿宋_GB2312" w:cs="仿宋_GB2312"/>
                <w:sz w:val="32"/>
                <w:szCs w:val="32"/>
              </w:rPr>
            </w:pPr>
          </w:p>
        </w:tc>
        <w:tc>
          <w:tcPr>
            <w:tcW w:w="3359"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9F52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1.《条例》第十六条第一款：“行政机关的内部事务信息，包括人事管理、后勤管理、内部工作流程等方面的信息，可以不予公开。”</w:t>
            </w:r>
          </w:p>
          <w:p w14:paraId="1D7AA9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国务院办公厅关于做好政府信息依申请公开工作的意见》（国办发〔2010〕5号）第二条第二款：“行政机关向申请人提供的政府信息，应当是正式、准确、完整的，申请人可以在生产、生活和科研中正式使用，也可以在诉讼或行政程序中作为书证使用。因此，行政机关在日常工作中制作或者获取的内部管理信息以及处于讨论、研究或者审查中的过程性信息，一般不属于《条例》所指应公开的政府信息。”</w:t>
            </w:r>
          </w:p>
        </w:tc>
      </w:tr>
      <w:tr w14:paraId="70EB828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31"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7FF0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６</w:t>
            </w:r>
          </w:p>
        </w:tc>
        <w:tc>
          <w:tcPr>
            <w:tcW w:w="1308"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2F5A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四类过程性信息（过程性信息处于讨论、研究或者审查过程中，具有不确定性。）</w:t>
            </w:r>
          </w:p>
        </w:tc>
        <w:tc>
          <w:tcPr>
            <w:tcW w:w="3359"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96FD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条例》第十六条第二款：“行政机关在履行行政管理职能过程中形成的讨论记录、过程稿、磋商信函、请示报告等过程性信息以及行政执法案卷信息，可以不予公开。法律、法规、规章规定上述信息应当公开的，从其规定。”</w:t>
            </w:r>
          </w:p>
          <w:p w14:paraId="66EAEC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国务院办公厅关于做好政府信息依申请公开工作的意见》（国办发〔2010〕5号）第二条第二款：“行政机关向申请人提供的政府信息，应当是正式、准确、完整的，申请人可以在生产、生活和科研中正式使用，也可以在诉讼或行政程序中作为书证使用。因此，行政机关在日常工作中制作或者获取的内部管理信息以及处于讨论、研究或者审查中的过程性信息，一般不属于《条例》所指应公开的政府信息。”</w:t>
            </w:r>
          </w:p>
        </w:tc>
      </w:tr>
      <w:tr w14:paraId="66A5EAB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31"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1615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７</w:t>
            </w:r>
          </w:p>
        </w:tc>
        <w:tc>
          <w:tcPr>
            <w:tcW w:w="1308"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5E7E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行政执法案卷（行政执法案卷的当事人、利害关系人可以通过其他法定程序实现知情权，对其他没有利害关系的主体不予公开不影响其合法权益。）</w:t>
            </w:r>
          </w:p>
        </w:tc>
        <w:tc>
          <w:tcPr>
            <w:tcW w:w="3359"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037C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条例》第十六条第二款：“行政机关在履行行政管理职能过程中形成的讨论记录、过程稿、磋商信函、请示报告等过程性信息以及行政执法案卷信息，可以不予以公开。法律、法规、规章规定上述信息应当公开的，从其规定。”</w:t>
            </w:r>
          </w:p>
          <w:p w14:paraId="28E29C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规定》第二条第（四）项：“公民、法人或者其他组织对下列行为不服提起行政诉讼的，人民法院不予受理：（四）行政程序中的当事人、利害关系人以政府信息公开名义申请查阅案卷材料，行政机关告知其应当按照相关法律、法规的规定办理的。”</w:t>
            </w:r>
          </w:p>
        </w:tc>
      </w:tr>
      <w:tr w14:paraId="0CD7821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31"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B8D4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８</w:t>
            </w:r>
          </w:p>
        </w:tc>
        <w:tc>
          <w:tcPr>
            <w:tcW w:w="1308"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79D0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行政查询事项（有关法律、行政法规对信息的获取有特别规定的，当事人应当依照相关规定进行办理。）</w:t>
            </w:r>
          </w:p>
        </w:tc>
        <w:tc>
          <w:tcPr>
            <w:tcW w:w="3359"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8B6B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《条例》第三十六条第（七）项：“所申请公开信息属于工商、不动产登记资料等信息，有关法律、行政法规对信息的获取有特别规定的，告知申请人依照有关法律、行政法规的规定办理。”</w:t>
            </w:r>
          </w:p>
        </w:tc>
      </w:tr>
    </w:tbl>
    <w:p w14:paraId="0C055AA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72B4C"/>
    <w:rsid w:val="05C552BF"/>
    <w:rsid w:val="43F72B4C"/>
    <w:rsid w:val="5E540FCF"/>
    <w:rsid w:val="7F261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801</Words>
  <Characters>801</Characters>
  <Lines>0</Lines>
  <Paragraphs>0</Paragraphs>
  <TotalTime>6</TotalTime>
  <ScaleCrop>false</ScaleCrop>
  <LinksUpToDate>false</LinksUpToDate>
  <CharactersWithSpaces>801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2025-06-18T03:59:00Z</dcterms:created>
  <dc:creator>三寸旧城- mello#</dc:creator>
  <cp:lastModifiedBy>三寸旧城- mello#</cp:lastModifiedBy>
  <dcterms:modified xsi:type="dcterms:W3CDTF">2025-06-18T07:24:02Z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0E96FE901E524A648D8DF951465374F7_13</vt:lpwstr>
  </property>
  <property fmtid="{D5CDD505-2E9C-101B-9397-08002B2CF9AE}" pid="4" name="KSOTemplateDocerSaveRecord">
    <vt:lpwstr>eyJoZGlkIjoiM2JlZWJlOTNlNjRiMTkxYjU3MDhjNGQ2ODQ4MTNiOGUiLCJ1c2VySWQiOiIxODk5NzQ3MjcifQ==</vt:lpwstr>
  </property>
</Properties>
</file>