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79E8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5年洛隆县</w:t>
      </w:r>
      <w:r>
        <w:rPr>
          <w:rFonts w:hint="eastAsia" w:ascii="宋体" w:hAnsi="宋体" w:eastAsia="宋体" w:cs="宋体"/>
          <w:b/>
          <w:bCs/>
          <w:sz w:val="44"/>
          <w:szCs w:val="44"/>
        </w:rPr>
        <w:t>国民经济和社会发展</w:t>
      </w:r>
    </w:p>
    <w:p w14:paraId="7E9955D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44"/>
          <w:szCs w:val="44"/>
          <w:lang w:eastAsia="zh-CN"/>
        </w:rPr>
      </w:pPr>
      <w:r>
        <w:rPr>
          <w:rFonts w:hint="eastAsia" w:ascii="宋体" w:hAnsi="宋体" w:eastAsia="宋体" w:cs="宋体"/>
          <w:b/>
          <w:bCs/>
          <w:sz w:val="44"/>
          <w:szCs w:val="44"/>
        </w:rPr>
        <w:t>统计公报</w:t>
      </w:r>
      <w:r>
        <w:rPr>
          <w:rFonts w:hint="eastAsia" w:ascii="宋体" w:hAnsi="宋体" w:eastAsia="宋体" w:cs="宋体"/>
          <w:b/>
          <w:bCs/>
          <w:sz w:val="44"/>
          <w:szCs w:val="44"/>
          <w:lang w:eastAsia="zh-CN"/>
        </w:rPr>
        <w:t>（</w:t>
      </w:r>
      <w:r>
        <w:rPr>
          <w:rFonts w:hint="eastAsia" w:ascii="宋体" w:hAnsi="宋体" w:eastAsia="宋体" w:cs="宋体"/>
          <w:b/>
          <w:bCs/>
          <w:sz w:val="44"/>
          <w:szCs w:val="44"/>
          <w:lang w:val="en-US" w:eastAsia="zh-CN"/>
        </w:rPr>
        <w:t>公布版</w:t>
      </w:r>
      <w:r>
        <w:rPr>
          <w:rFonts w:hint="eastAsia" w:ascii="宋体" w:hAnsi="宋体" w:eastAsia="宋体" w:cs="宋体"/>
          <w:b/>
          <w:bCs/>
          <w:sz w:val="44"/>
          <w:szCs w:val="44"/>
          <w:lang w:eastAsia="zh-CN"/>
        </w:rPr>
        <w:t>）</w:t>
      </w:r>
    </w:p>
    <w:p w14:paraId="5757059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2025年，洛隆县委、县政府坚持以习近平新时代中国特色社会主义思想为指导，全面贯彻党的二十大和二十届历次全会及中央经济工作会议精神，深入贯彻习近平总书记关于西藏工作的重要指示和新时代党的治藏方略，认真落实自治区党委十届七次全会、二届市委历次全会精神，聚焦“四件大事”、聚力“四个创建”，紧扣</w:t>
      </w:r>
      <w:r>
        <w:rPr>
          <w:rFonts w:hint="eastAsia" w:ascii="仿宋" w:hAnsi="仿宋" w:eastAsia="仿宋" w:cs="仿宋"/>
          <w:sz w:val="32"/>
          <w:szCs w:val="32"/>
          <w:highlight w:val="none"/>
          <w:lang w:val="en-US" w:eastAsia="zh-CN"/>
        </w:rPr>
        <w:t>昌都市</w:t>
      </w:r>
      <w:r>
        <w:rPr>
          <w:rFonts w:hint="eastAsia" w:ascii="仿宋" w:hAnsi="仿宋" w:eastAsia="仿宋" w:cs="仿宋"/>
          <w:sz w:val="32"/>
          <w:szCs w:val="32"/>
          <w:highlight w:val="none"/>
          <w:lang w:eastAsia="zh-CN"/>
        </w:rPr>
        <w:t>“一切向东，建设长治久安和高质量发展引领示范市”工作目标，按照市委、市政府总体工作思路，完整准确全面贯彻新发展理念，坚持稳中求进工作总基调，统筹发展和安全，高质量完成了全年各项经济社会发展目标任务，为“十四五”规划圆满收官奠定坚实基础。</w:t>
      </w:r>
    </w:p>
    <w:p w14:paraId="41D55E8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一、综合</w:t>
      </w:r>
    </w:p>
    <w:p w14:paraId="4E61E15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FF0000"/>
          <w:sz w:val="32"/>
          <w:szCs w:val="32"/>
          <w:highlight w:val="none"/>
          <w:lang w:eastAsia="zh-CN"/>
        </w:rPr>
        <w:drawing>
          <wp:anchor distT="0" distB="0" distL="114300" distR="114300" simplePos="0" relativeHeight="251660288" behindDoc="0" locked="0" layoutInCell="1" allowOverlap="1">
            <wp:simplePos x="0" y="0"/>
            <wp:positionH relativeFrom="column">
              <wp:posOffset>190500</wp:posOffset>
            </wp:positionH>
            <wp:positionV relativeFrom="paragraph">
              <wp:posOffset>1624330</wp:posOffset>
            </wp:positionV>
            <wp:extent cx="4994910" cy="2146935"/>
            <wp:effectExtent l="0" t="0" r="15240" b="5715"/>
            <wp:wrapNone/>
            <wp:docPr id="7" name="图片 7" descr="5996dcbdc5ff502cdfd3e789c3337d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996dcbdc5ff502cdfd3e789c3337da6"/>
                    <pic:cNvPicPr>
                      <a:picLocks noChangeAspect="1"/>
                    </pic:cNvPicPr>
                  </pic:nvPicPr>
                  <pic:blipFill>
                    <a:blip r:embed="rId5"/>
                    <a:stretch>
                      <a:fillRect/>
                    </a:stretch>
                  </pic:blipFill>
                  <pic:spPr>
                    <a:xfrm>
                      <a:off x="0" y="0"/>
                      <a:ext cx="4994910" cy="2146935"/>
                    </a:xfrm>
                    <a:prstGeom prst="rect">
                      <a:avLst/>
                    </a:prstGeom>
                  </pic:spPr>
                </pic:pic>
              </a:graphicData>
            </a:graphic>
          </wp:anchor>
        </w:drawing>
      </w:r>
      <w:r>
        <w:rPr>
          <w:rFonts w:hint="eastAsia" w:ascii="仿宋" w:hAnsi="仿宋" w:eastAsia="仿宋" w:cs="仿宋"/>
          <w:color w:val="000000" w:themeColor="text1"/>
          <w:sz w:val="32"/>
          <w:szCs w:val="32"/>
          <w14:textFill>
            <w14:solidFill>
              <w14:schemeClr w14:val="tx1"/>
            </w14:solidFill>
          </w14:textFill>
        </w:rPr>
        <w:t>初步核算，</w:t>
      </w:r>
      <w:r>
        <w:rPr>
          <w:rFonts w:hint="eastAsia" w:ascii="仿宋" w:hAnsi="仿宋" w:eastAsia="仿宋" w:cs="仿宋"/>
          <w:color w:val="000000" w:themeColor="text1"/>
          <w:sz w:val="32"/>
          <w:szCs w:val="32"/>
          <w:lang w:val="en-US" w:eastAsia="zh-CN"/>
          <w14:textFill>
            <w14:solidFill>
              <w14:schemeClr w14:val="tx1"/>
            </w14:solidFill>
          </w14:textFill>
        </w:rPr>
        <w:t>2025</w:t>
      </w:r>
      <w:r>
        <w:rPr>
          <w:rFonts w:hint="eastAsia" w:ascii="仿宋" w:hAnsi="仿宋" w:eastAsia="仿宋" w:cs="仿宋"/>
          <w:color w:val="000000" w:themeColor="text1"/>
          <w:sz w:val="32"/>
          <w:szCs w:val="32"/>
          <w14:textFill>
            <w14:solidFill>
              <w14:schemeClr w14:val="tx1"/>
            </w14:solidFill>
          </w14:textFill>
        </w:rPr>
        <w:t>年地区生产总值（GDP）</w:t>
      </w:r>
      <w:r>
        <w:rPr>
          <w:rFonts w:hint="eastAsia" w:ascii="仿宋" w:hAnsi="仿宋" w:eastAsia="仿宋" w:cs="仿宋"/>
          <w:color w:val="000000" w:themeColor="text1"/>
          <w:sz w:val="32"/>
          <w:szCs w:val="32"/>
          <w:highlight w:val="none"/>
          <w:lang w:val="en-US" w:eastAsia="zh-CN"/>
          <w14:textFill>
            <w14:solidFill>
              <w14:schemeClr w14:val="tx1"/>
            </w14:solidFill>
          </w14:textFill>
        </w:rPr>
        <w:t>220059</w:t>
      </w:r>
      <w:r>
        <w:rPr>
          <w:rFonts w:hint="eastAsia" w:ascii="仿宋" w:hAnsi="仿宋" w:eastAsia="仿宋" w:cs="仿宋"/>
          <w:color w:val="000000" w:themeColor="text1"/>
          <w:sz w:val="32"/>
          <w:szCs w:val="32"/>
          <w:lang w:val="en-US" w:eastAsia="zh-CN"/>
          <w14:textFill>
            <w14:solidFill>
              <w14:schemeClr w14:val="tx1"/>
            </w14:solidFill>
          </w14:textFill>
        </w:rPr>
        <w:t>万</w:t>
      </w:r>
      <w:r>
        <w:rPr>
          <w:rFonts w:hint="eastAsia" w:ascii="仿宋" w:hAnsi="仿宋" w:eastAsia="仿宋" w:cs="仿宋"/>
          <w:color w:val="000000" w:themeColor="text1"/>
          <w:sz w:val="32"/>
          <w:szCs w:val="32"/>
          <w14:textFill>
            <w14:solidFill>
              <w14:schemeClr w14:val="tx1"/>
            </w14:solidFill>
          </w14:textFill>
        </w:rPr>
        <w:t>元，按可比价计算，比上年增长</w:t>
      </w:r>
      <w:r>
        <w:rPr>
          <w:rFonts w:hint="eastAsia" w:ascii="仿宋" w:hAnsi="仿宋" w:eastAsia="仿宋" w:cs="仿宋"/>
          <w:color w:val="000000" w:themeColor="text1"/>
          <w:sz w:val="32"/>
          <w:szCs w:val="32"/>
          <w:lang w:val="en-US" w:eastAsia="zh-CN"/>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t>%。其中，</w:t>
      </w:r>
      <w:r>
        <w:rPr>
          <w:rFonts w:hint="eastAsia" w:ascii="仿宋" w:hAnsi="仿宋" w:eastAsia="仿宋" w:cs="仿宋"/>
          <w:color w:val="000000" w:themeColor="text1"/>
          <w:sz w:val="32"/>
          <w:szCs w:val="32"/>
          <w:highlight w:val="none"/>
          <w14:textFill>
            <w14:solidFill>
              <w14:schemeClr w14:val="tx1"/>
            </w14:solidFill>
          </w14:textFill>
        </w:rPr>
        <w:t>第一产业增加值</w:t>
      </w:r>
      <w:r>
        <w:rPr>
          <w:rFonts w:hint="eastAsia" w:ascii="仿宋" w:hAnsi="仿宋" w:eastAsia="仿宋" w:cs="仿宋"/>
          <w:color w:val="000000" w:themeColor="text1"/>
          <w:sz w:val="32"/>
          <w:szCs w:val="32"/>
          <w:highlight w:val="none"/>
          <w:lang w:val="en-US" w:eastAsia="zh-CN"/>
          <w14:textFill>
            <w14:solidFill>
              <w14:schemeClr w14:val="tx1"/>
            </w14:solidFill>
          </w14:textFill>
        </w:rPr>
        <w:t>43063</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val="en-US" w:eastAsia="zh-CN"/>
          <w14:textFill>
            <w14:solidFill>
              <w14:schemeClr w14:val="tx1"/>
            </w14:solidFill>
          </w14:textFill>
        </w:rPr>
        <w:t>增速13.6</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第二产业增加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值61471</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val="en-US" w:eastAsia="zh-CN"/>
          <w14:textFill>
            <w14:solidFill>
              <w14:schemeClr w14:val="tx1"/>
            </w14:solidFill>
          </w14:textFill>
        </w:rPr>
        <w:t>增速6.2</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第三产业增加值</w:t>
      </w:r>
      <w:r>
        <w:rPr>
          <w:rFonts w:hint="eastAsia" w:ascii="仿宋" w:hAnsi="仿宋" w:eastAsia="仿宋" w:cs="仿宋"/>
          <w:color w:val="000000" w:themeColor="text1"/>
          <w:sz w:val="32"/>
          <w:szCs w:val="32"/>
          <w:highlight w:val="none"/>
          <w:lang w:val="en-US" w:eastAsia="zh-CN"/>
          <w14:textFill>
            <w14:solidFill>
              <w14:schemeClr w14:val="tx1"/>
            </w14:solidFill>
          </w14:textFill>
        </w:rPr>
        <w:t>115526</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val="en-US" w:eastAsia="zh-CN"/>
          <w14:textFill>
            <w14:solidFill>
              <w14:schemeClr w14:val="tx1"/>
            </w14:solidFill>
          </w14:textFill>
        </w:rPr>
        <w:t>增速6.2</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人均地区生产总值</w:t>
      </w:r>
      <w:r>
        <w:rPr>
          <w:rFonts w:hint="eastAsia" w:ascii="仿宋" w:hAnsi="仿宋" w:eastAsia="仿宋" w:cs="仿宋"/>
          <w:color w:val="000000" w:themeColor="text1"/>
          <w:sz w:val="32"/>
          <w:szCs w:val="32"/>
          <w:highlight w:val="none"/>
          <w:lang w:val="en-US" w:eastAsia="zh-CN"/>
          <w14:textFill>
            <w14:solidFill>
              <w14:schemeClr w14:val="tx1"/>
            </w14:solidFill>
          </w14:textFill>
        </w:rPr>
        <w:t>35625</w:t>
      </w:r>
      <w:r>
        <w:rPr>
          <w:rFonts w:hint="eastAsia" w:ascii="仿宋" w:hAnsi="仿宋" w:eastAsia="仿宋" w:cs="仿宋"/>
          <w:color w:val="000000" w:themeColor="text1"/>
          <w:sz w:val="32"/>
          <w:szCs w:val="32"/>
          <w:highlight w:val="none"/>
          <w14:textFill>
            <w14:solidFill>
              <w14:schemeClr w14:val="tx1"/>
            </w14:solidFill>
          </w14:textFill>
        </w:rPr>
        <w:t>元，</w:t>
      </w:r>
      <w:r>
        <w:rPr>
          <w:rFonts w:hint="eastAsia" w:ascii="仿宋" w:hAnsi="仿宋" w:eastAsia="仿宋" w:cs="仿宋"/>
          <w:color w:val="000000" w:themeColor="text1"/>
          <w:sz w:val="32"/>
          <w:szCs w:val="32"/>
          <w:highlight w:val="none"/>
          <w:lang w:val="en-US" w:eastAsia="zh-CN"/>
          <w14:textFill>
            <w14:solidFill>
              <w14:schemeClr w14:val="tx1"/>
            </w14:solidFill>
          </w14:textFill>
        </w:rPr>
        <w:t>增速3.1%</w:t>
      </w:r>
      <w:r>
        <w:rPr>
          <w:rFonts w:hint="eastAsia" w:ascii="仿宋" w:hAnsi="仿宋" w:eastAsia="仿宋" w:cs="仿宋"/>
          <w:color w:val="000000" w:themeColor="text1"/>
          <w:sz w:val="32"/>
          <w:szCs w:val="32"/>
          <w:highlight w:val="none"/>
          <w14:textFill>
            <w14:solidFill>
              <w14:schemeClr w14:val="tx1"/>
            </w14:solidFill>
          </w14:textFill>
        </w:rPr>
        <w:t xml:space="preserve">。 </w:t>
      </w:r>
    </w:p>
    <w:p w14:paraId="20C1F5A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FF0000"/>
          <w:sz w:val="32"/>
          <w:szCs w:val="32"/>
          <w:highlight w:val="none"/>
          <w:lang w:eastAsia="zh-CN"/>
        </w:rPr>
      </w:pPr>
    </w:p>
    <w:p w14:paraId="7C05D97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pPr>
    </w:p>
    <w:p w14:paraId="063753E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pPr>
    </w:p>
    <w:p w14:paraId="241EF2B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pPr>
    </w:p>
    <w:p w14:paraId="4FBF023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pPr>
    </w:p>
    <w:p w14:paraId="612155A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stheme="minorBidi"/>
          <w:color w:val="FF0000"/>
          <w:kern w:val="2"/>
          <w:sz w:val="21"/>
          <w:szCs w:val="24"/>
          <w:lang w:val="en-US" w:eastAsia="zh-CN" w:bidi="ar-SA"/>
        </w:rPr>
      </w:pPr>
    </w:p>
    <w:p w14:paraId="0F6C22EC">
      <w:pPr>
        <w:bidi w:val="0"/>
        <w:jc w:val="left"/>
        <w:rPr>
          <w:rFonts w:hint="eastAsia" w:cstheme="minorBidi"/>
          <w:color w:val="FF0000"/>
          <w:kern w:val="2"/>
          <w:sz w:val="21"/>
          <w:szCs w:val="24"/>
          <w:lang w:val="en-US" w:eastAsia="zh-CN" w:bidi="ar-SA"/>
        </w:rPr>
      </w:pPr>
    </w:p>
    <w:p w14:paraId="7BA4C840">
      <w:pPr>
        <w:bidi w:val="0"/>
        <w:jc w:val="left"/>
        <w:rPr>
          <w:rFonts w:hint="eastAsia" w:cstheme="minorBidi"/>
          <w:color w:val="FF0000"/>
          <w:kern w:val="2"/>
          <w:sz w:val="21"/>
          <w:szCs w:val="24"/>
          <w:lang w:val="en-US" w:eastAsia="zh-CN" w:bidi="ar-SA"/>
        </w:rPr>
      </w:pPr>
    </w:p>
    <w:p w14:paraId="7D5176FC">
      <w:pPr>
        <w:bidi w:val="0"/>
        <w:ind w:firstLine="1890" w:firstLineChars="900"/>
        <w:jc w:val="left"/>
        <w:rPr>
          <w:rFonts w:hint="default" w:asciiTheme="minorHAnsi"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cstheme="minorBidi"/>
          <w:b w:val="0"/>
          <w:bCs w:val="0"/>
          <w:color w:val="000000" w:themeColor="text1"/>
          <w:kern w:val="2"/>
          <w:sz w:val="21"/>
          <w:szCs w:val="24"/>
          <w:lang w:val="en-US" w:eastAsia="zh-CN" w:bidi="ar-SA"/>
          <w14:textFill>
            <w14:solidFill>
              <w14:schemeClr w14:val="tx1"/>
            </w14:solidFill>
          </w14:textFill>
        </w:rPr>
        <w:t>图1 2021年-2025年全县地方生产总值及增长速度</w:t>
      </w:r>
    </w:p>
    <w:p w14:paraId="5CA4B7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在全</w:t>
      </w:r>
      <w:r>
        <w:rPr>
          <w:rFonts w:hint="eastAsia" w:ascii="仿宋" w:hAnsi="仿宋" w:eastAsia="仿宋" w:cs="仿宋"/>
          <w:color w:val="000000" w:themeColor="text1"/>
          <w:sz w:val="32"/>
          <w:szCs w:val="32"/>
          <w:lang w:val="en-US" w:eastAsia="zh-CN"/>
          <w14:textFill>
            <w14:solidFill>
              <w14:schemeClr w14:val="tx1"/>
            </w14:solidFill>
          </w14:textFill>
        </w:rPr>
        <w:t>县</w:t>
      </w:r>
      <w:r>
        <w:rPr>
          <w:rFonts w:hint="eastAsia" w:ascii="仿宋" w:hAnsi="仿宋" w:eastAsia="仿宋" w:cs="仿宋"/>
          <w:color w:val="000000" w:themeColor="text1"/>
          <w:sz w:val="32"/>
          <w:szCs w:val="32"/>
          <w14:textFill>
            <w14:solidFill>
              <w14:schemeClr w14:val="tx1"/>
            </w14:solidFill>
          </w14:textFill>
        </w:rPr>
        <w:t>生产总值中，第一、二、三产业增加值所占比重分别为</w:t>
      </w:r>
      <w:r>
        <w:rPr>
          <w:rFonts w:hint="eastAsia" w:ascii="仿宋" w:hAnsi="仿宋" w:eastAsia="仿宋" w:cs="仿宋"/>
          <w:color w:val="000000" w:themeColor="text1"/>
          <w:sz w:val="32"/>
          <w:szCs w:val="32"/>
          <w:lang w:val="en-US" w:eastAsia="zh-CN"/>
          <w14:textFill>
            <w14:solidFill>
              <w14:schemeClr w14:val="tx1"/>
            </w14:solidFill>
          </w14:textFill>
        </w:rPr>
        <w:t>19.6</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27.9</w:t>
      </w:r>
      <w:r>
        <w:rPr>
          <w:rFonts w:hint="eastAsia" w:ascii="仿宋" w:hAnsi="仿宋" w:eastAsia="仿宋" w:cs="仿宋"/>
          <w:color w:val="000000" w:themeColor="text1"/>
          <w:sz w:val="32"/>
          <w:szCs w:val="32"/>
          <w14:textFill>
            <w14:solidFill>
              <w14:schemeClr w14:val="tx1"/>
            </w14:solidFill>
          </w14:textFill>
        </w:rPr>
        <w:t>%、5</w:t>
      </w:r>
      <w:r>
        <w:rPr>
          <w:rFonts w:hint="eastAsia" w:ascii="仿宋" w:hAnsi="仿宋" w:eastAsia="仿宋" w:cs="仿宋"/>
          <w:color w:val="000000" w:themeColor="text1"/>
          <w:sz w:val="32"/>
          <w:szCs w:val="32"/>
          <w:lang w:val="en-US" w:eastAsia="zh-CN"/>
          <w14:textFill>
            <w14:solidFill>
              <w14:schemeClr w14:val="tx1"/>
            </w14:solidFill>
          </w14:textFill>
        </w:rPr>
        <w:t>2.5</w:t>
      </w:r>
      <w:r>
        <w:rPr>
          <w:rFonts w:hint="eastAsia" w:ascii="仿宋" w:hAnsi="仿宋" w:eastAsia="仿宋" w:cs="仿宋"/>
          <w:color w:val="000000" w:themeColor="text1"/>
          <w:sz w:val="32"/>
          <w:szCs w:val="32"/>
          <w14:textFill>
            <w14:solidFill>
              <w14:schemeClr w14:val="tx1"/>
            </w14:solidFill>
          </w14:textFill>
        </w:rPr>
        <w:t>%。与上年相比，第一产业比重</w:t>
      </w:r>
      <w:r>
        <w:rPr>
          <w:rFonts w:hint="eastAsia" w:ascii="仿宋" w:hAnsi="仿宋" w:eastAsia="仿宋" w:cs="仿宋"/>
          <w:color w:val="000000" w:themeColor="text1"/>
          <w:sz w:val="32"/>
          <w:szCs w:val="32"/>
          <w:lang w:val="en-US" w:eastAsia="zh-CN"/>
          <w14:textFill>
            <w14:solidFill>
              <w14:schemeClr w14:val="tx1"/>
            </w14:solidFill>
          </w14:textFill>
        </w:rPr>
        <w:t>增长1.8</w:t>
      </w:r>
      <w:r>
        <w:rPr>
          <w:rFonts w:hint="eastAsia" w:ascii="仿宋" w:hAnsi="仿宋" w:eastAsia="仿宋" w:cs="仿宋"/>
          <w:color w:val="000000" w:themeColor="text1"/>
          <w:sz w:val="32"/>
          <w:szCs w:val="32"/>
          <w14:textFill>
            <w14:solidFill>
              <w14:schemeClr w14:val="tx1"/>
            </w14:solidFill>
          </w14:textFill>
        </w:rPr>
        <w:t>个百分点，第二产业</w:t>
      </w:r>
      <w:r>
        <w:rPr>
          <w:rFonts w:hint="eastAsia" w:ascii="仿宋" w:hAnsi="仿宋" w:eastAsia="仿宋" w:cs="仿宋"/>
          <w:color w:val="000000" w:themeColor="text1"/>
          <w:sz w:val="32"/>
          <w:szCs w:val="32"/>
          <w:lang w:val="en-US" w:eastAsia="zh-CN"/>
          <w14:textFill>
            <w14:solidFill>
              <w14:schemeClr w14:val="tx1"/>
            </w14:solidFill>
          </w14:textFill>
        </w:rPr>
        <w:t>下降0.3</w:t>
      </w:r>
      <w:r>
        <w:rPr>
          <w:rFonts w:hint="eastAsia" w:ascii="仿宋" w:hAnsi="仿宋" w:eastAsia="仿宋" w:cs="仿宋"/>
          <w:color w:val="000000" w:themeColor="text1"/>
          <w:sz w:val="32"/>
          <w:szCs w:val="32"/>
          <w14:textFill>
            <w14:solidFill>
              <w14:schemeClr w14:val="tx1"/>
            </w14:solidFill>
          </w14:textFill>
        </w:rPr>
        <w:t>个百分点，第三产业</w:t>
      </w:r>
      <w:r>
        <w:rPr>
          <w:rFonts w:hint="eastAsia" w:ascii="仿宋" w:hAnsi="仿宋" w:eastAsia="仿宋" w:cs="仿宋"/>
          <w:color w:val="000000" w:themeColor="text1"/>
          <w:sz w:val="32"/>
          <w:szCs w:val="32"/>
          <w:lang w:val="en-US" w:eastAsia="zh-CN"/>
          <w14:textFill>
            <w14:solidFill>
              <w14:schemeClr w14:val="tx1"/>
            </w14:solidFill>
          </w14:textFill>
        </w:rPr>
        <w:t>下降1.5</w:t>
      </w:r>
      <w:r>
        <w:rPr>
          <w:rFonts w:hint="eastAsia" w:ascii="仿宋" w:hAnsi="仿宋" w:eastAsia="仿宋" w:cs="仿宋"/>
          <w:color w:val="000000" w:themeColor="text1"/>
          <w:sz w:val="32"/>
          <w:szCs w:val="32"/>
          <w14:textFill>
            <w14:solidFill>
              <w14:schemeClr w14:val="tx1"/>
            </w14:solidFill>
          </w14:textFill>
        </w:rPr>
        <w:t>个百分点。</w:t>
      </w:r>
    </w:p>
    <w:p w14:paraId="3DC24E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drawing>
          <wp:anchor distT="0" distB="0" distL="114300" distR="114300" simplePos="0" relativeHeight="251663360" behindDoc="0" locked="0" layoutInCell="1" allowOverlap="1">
            <wp:simplePos x="0" y="0"/>
            <wp:positionH relativeFrom="column">
              <wp:posOffset>50800</wp:posOffset>
            </wp:positionH>
            <wp:positionV relativeFrom="paragraph">
              <wp:posOffset>55245</wp:posOffset>
            </wp:positionV>
            <wp:extent cx="5273675" cy="2955290"/>
            <wp:effectExtent l="0" t="0" r="3175" b="16510"/>
            <wp:wrapNone/>
            <wp:docPr id="5" name="图片 5" descr="eb1f984d06b3b19ef81d922b7a7632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b1f984d06b3b19ef81d922b7a76320f"/>
                    <pic:cNvPicPr>
                      <a:picLocks noChangeAspect="1"/>
                    </pic:cNvPicPr>
                  </pic:nvPicPr>
                  <pic:blipFill>
                    <a:blip r:embed="rId6"/>
                    <a:stretch>
                      <a:fillRect/>
                    </a:stretch>
                  </pic:blipFill>
                  <pic:spPr>
                    <a:xfrm>
                      <a:off x="0" y="0"/>
                      <a:ext cx="5273675" cy="2955290"/>
                    </a:xfrm>
                    <a:prstGeom prst="rect">
                      <a:avLst/>
                    </a:prstGeom>
                  </pic:spPr>
                </pic:pic>
              </a:graphicData>
            </a:graphic>
          </wp:anchor>
        </w:drawing>
      </w:r>
    </w:p>
    <w:p w14:paraId="073A30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17BED2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2F17A4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3B1043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1A7064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2CA5F3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2AC979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63E7058B">
      <w:pPr>
        <w:keepNext w:val="0"/>
        <w:keepLines w:val="0"/>
        <w:widowControl/>
        <w:suppressLineNumbers w:val="0"/>
        <w:ind w:firstLine="1200" w:firstLineChars="500"/>
        <w:jc w:val="left"/>
        <w:rPr>
          <w:rFonts w:ascii="宋体" w:hAnsi="宋体" w:eastAsia="宋体" w:cs="宋体"/>
          <w:kern w:val="0"/>
          <w:sz w:val="24"/>
          <w:szCs w:val="24"/>
          <w:lang w:val="en-US" w:eastAsia="zh-CN" w:bidi="ar"/>
        </w:rPr>
      </w:pPr>
    </w:p>
    <w:p w14:paraId="67B23D01">
      <w:pPr>
        <w:keepNext w:val="0"/>
        <w:keepLines w:val="0"/>
        <w:widowControl/>
        <w:suppressLineNumbers w:val="0"/>
        <w:ind w:firstLine="1680" w:firstLineChars="700"/>
        <w:jc w:val="left"/>
        <w:rPr>
          <w:rFonts w:hint="eastAsia"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图2 20</w:t>
      </w:r>
      <w:r>
        <w:rPr>
          <w:rFonts w:hint="eastAsia" w:ascii="宋体" w:hAnsi="宋体" w:eastAsia="宋体" w:cs="宋体"/>
          <w:kern w:val="0"/>
          <w:sz w:val="24"/>
          <w:szCs w:val="24"/>
          <w:lang w:val="en-US" w:eastAsia="zh-CN" w:bidi="ar"/>
        </w:rPr>
        <w:t>21</w:t>
      </w:r>
      <w:r>
        <w:rPr>
          <w:rFonts w:ascii="宋体" w:hAnsi="宋体" w:eastAsia="宋体" w:cs="宋体"/>
          <w:kern w:val="0"/>
          <w:sz w:val="24"/>
          <w:szCs w:val="24"/>
          <w:lang w:val="en-US" w:eastAsia="zh-CN" w:bidi="ar"/>
        </w:rPr>
        <w:t>-202</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年三次产业增加值占地区生产总值比重</w:t>
      </w:r>
    </w:p>
    <w:p w14:paraId="0922E2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根据</w:t>
      </w:r>
      <w:r>
        <w:rPr>
          <w:rFonts w:hint="eastAsia" w:ascii="仿宋" w:hAnsi="仿宋" w:eastAsia="仿宋" w:cs="仿宋"/>
          <w:color w:val="auto"/>
          <w:sz w:val="32"/>
          <w:szCs w:val="32"/>
          <w:lang w:val="en-US" w:eastAsia="zh-CN"/>
        </w:rPr>
        <w:t>年底国民经济综合年报数据</w:t>
      </w:r>
      <w:r>
        <w:rPr>
          <w:rFonts w:hint="eastAsia" w:ascii="仿宋" w:hAnsi="仿宋" w:eastAsia="仿宋" w:cs="仿宋"/>
          <w:color w:val="auto"/>
          <w:sz w:val="32"/>
          <w:szCs w:val="32"/>
        </w:rPr>
        <w:t>，年末全</w:t>
      </w:r>
      <w:r>
        <w:rPr>
          <w:rFonts w:hint="eastAsia" w:ascii="仿宋" w:hAnsi="仿宋" w:eastAsia="仿宋" w:cs="仿宋"/>
          <w:color w:val="auto"/>
          <w:sz w:val="32"/>
          <w:szCs w:val="32"/>
          <w:lang w:val="en-US" w:eastAsia="zh-CN"/>
        </w:rPr>
        <w:t>县</w:t>
      </w:r>
      <w:r>
        <w:rPr>
          <w:rFonts w:hint="eastAsia" w:ascii="仿宋" w:hAnsi="仿宋" w:eastAsia="仿宋" w:cs="仿宋"/>
          <w:color w:val="auto"/>
          <w:sz w:val="32"/>
          <w:szCs w:val="32"/>
        </w:rPr>
        <w:t>人口总数为</w:t>
      </w:r>
      <w:r>
        <w:rPr>
          <w:rFonts w:hint="eastAsia" w:ascii="仿宋" w:hAnsi="仿宋" w:eastAsia="仿宋" w:cs="仿宋"/>
          <w:color w:val="auto"/>
          <w:sz w:val="32"/>
          <w:szCs w:val="32"/>
          <w:lang w:val="en-US" w:eastAsia="zh-CN"/>
        </w:rPr>
        <w:t>61770</w:t>
      </w:r>
      <w:r>
        <w:rPr>
          <w:rFonts w:hint="eastAsia" w:ascii="仿宋" w:hAnsi="仿宋" w:eastAsia="仿宋" w:cs="仿宋"/>
          <w:color w:val="auto"/>
          <w:sz w:val="32"/>
          <w:szCs w:val="32"/>
        </w:rPr>
        <w:t>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常住人口56954人</w:t>
      </w:r>
      <w:r>
        <w:rPr>
          <w:rFonts w:hint="eastAsia" w:ascii="仿宋" w:hAnsi="仿宋" w:eastAsia="仿宋" w:cs="仿宋"/>
          <w:color w:val="auto"/>
          <w:sz w:val="32"/>
          <w:szCs w:val="32"/>
        </w:rPr>
        <w:t>。其中，城镇人口</w:t>
      </w:r>
      <w:r>
        <w:rPr>
          <w:rFonts w:hint="eastAsia" w:ascii="仿宋" w:hAnsi="仿宋" w:eastAsia="仿宋" w:cs="仿宋"/>
          <w:color w:val="auto"/>
          <w:sz w:val="32"/>
          <w:szCs w:val="32"/>
          <w:lang w:val="en-US" w:eastAsia="zh-CN"/>
        </w:rPr>
        <w:t>6445</w:t>
      </w:r>
      <w:r>
        <w:rPr>
          <w:rFonts w:hint="eastAsia" w:ascii="仿宋" w:hAnsi="仿宋" w:eastAsia="仿宋" w:cs="仿宋"/>
          <w:color w:val="auto"/>
          <w:sz w:val="32"/>
          <w:szCs w:val="32"/>
        </w:rPr>
        <w:t>人，占</w:t>
      </w:r>
      <w:r>
        <w:rPr>
          <w:rFonts w:hint="eastAsia" w:ascii="仿宋" w:hAnsi="仿宋" w:eastAsia="仿宋" w:cs="仿宋"/>
          <w:color w:val="auto"/>
          <w:sz w:val="32"/>
          <w:szCs w:val="32"/>
          <w:lang w:val="en-US" w:eastAsia="zh-CN"/>
        </w:rPr>
        <w:t>常住</w:t>
      </w:r>
      <w:r>
        <w:rPr>
          <w:rFonts w:hint="eastAsia" w:ascii="仿宋" w:hAnsi="仿宋" w:eastAsia="仿宋" w:cs="仿宋"/>
          <w:color w:val="auto"/>
          <w:sz w:val="32"/>
          <w:szCs w:val="32"/>
        </w:rPr>
        <w:t>总人口的</w:t>
      </w: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%；乡村人口</w:t>
      </w:r>
      <w:r>
        <w:rPr>
          <w:rFonts w:hint="eastAsia" w:ascii="仿宋" w:hAnsi="仿宋" w:eastAsia="仿宋" w:cs="仿宋"/>
          <w:color w:val="auto"/>
          <w:sz w:val="32"/>
          <w:szCs w:val="32"/>
          <w:lang w:val="en-US" w:eastAsia="zh-CN"/>
        </w:rPr>
        <w:t>50509</w:t>
      </w:r>
      <w:r>
        <w:rPr>
          <w:rFonts w:hint="eastAsia" w:ascii="仿宋" w:hAnsi="仿宋" w:eastAsia="仿宋" w:cs="仿宋"/>
          <w:color w:val="auto"/>
          <w:sz w:val="32"/>
          <w:szCs w:val="32"/>
        </w:rPr>
        <w:t>人，占</w:t>
      </w:r>
      <w:r>
        <w:rPr>
          <w:rFonts w:hint="eastAsia" w:ascii="仿宋" w:hAnsi="仿宋" w:eastAsia="仿宋" w:cs="仿宋"/>
          <w:color w:val="auto"/>
          <w:sz w:val="32"/>
          <w:szCs w:val="32"/>
          <w:lang w:val="en-US" w:eastAsia="zh-CN"/>
        </w:rPr>
        <w:t>常住</w:t>
      </w:r>
      <w:r>
        <w:rPr>
          <w:rFonts w:hint="eastAsia" w:ascii="仿宋" w:hAnsi="仿宋" w:eastAsia="仿宋" w:cs="仿宋"/>
          <w:color w:val="auto"/>
          <w:sz w:val="32"/>
          <w:szCs w:val="32"/>
        </w:rPr>
        <w:t>总人口的</w:t>
      </w:r>
      <w:r>
        <w:rPr>
          <w:rFonts w:hint="eastAsia" w:ascii="仿宋" w:hAnsi="仿宋" w:eastAsia="仿宋" w:cs="仿宋"/>
          <w:color w:val="auto"/>
          <w:sz w:val="32"/>
          <w:szCs w:val="32"/>
          <w:lang w:val="en-US" w:eastAsia="zh-CN"/>
        </w:rPr>
        <w:t>89</w:t>
      </w:r>
      <w:r>
        <w:rPr>
          <w:rFonts w:hint="eastAsia" w:ascii="仿宋" w:hAnsi="仿宋" w:eastAsia="仿宋" w:cs="仿宋"/>
          <w:color w:val="auto"/>
          <w:sz w:val="32"/>
          <w:szCs w:val="32"/>
        </w:rPr>
        <w:t>%。人口出生率</w:t>
      </w:r>
      <w:r>
        <w:rPr>
          <w:rFonts w:hint="eastAsia" w:ascii="仿宋" w:hAnsi="仿宋" w:eastAsia="仿宋" w:cs="仿宋"/>
          <w:color w:val="auto"/>
          <w:sz w:val="32"/>
          <w:szCs w:val="32"/>
          <w:lang w:val="en-US" w:eastAsia="zh-CN"/>
        </w:rPr>
        <w:t>12.56</w:t>
      </w:r>
      <w:r>
        <w:rPr>
          <w:rFonts w:hint="eastAsia" w:ascii="仿宋" w:hAnsi="仿宋" w:eastAsia="仿宋" w:cs="仿宋"/>
          <w:color w:val="auto"/>
          <w:sz w:val="32"/>
          <w:szCs w:val="32"/>
        </w:rPr>
        <w:t>‰，</w:t>
      </w:r>
      <w:r>
        <w:rPr>
          <w:rFonts w:hint="eastAsia" w:ascii="仿宋" w:hAnsi="仿宋" w:eastAsia="仿宋" w:cs="仿宋"/>
          <w:b w:val="0"/>
          <w:bCs w:val="0"/>
          <w:color w:val="auto"/>
          <w:sz w:val="32"/>
          <w:szCs w:val="32"/>
        </w:rPr>
        <w:t>死亡率</w:t>
      </w:r>
      <w:r>
        <w:rPr>
          <w:rFonts w:hint="eastAsia" w:ascii="仿宋" w:hAnsi="仿宋" w:eastAsia="仿宋" w:cs="仿宋"/>
          <w:b w:val="0"/>
          <w:bCs w:val="0"/>
          <w:color w:val="auto"/>
          <w:sz w:val="32"/>
          <w:szCs w:val="32"/>
          <w:lang w:val="en-US" w:eastAsia="zh-CN"/>
        </w:rPr>
        <w:t>4.39</w:t>
      </w:r>
      <w:r>
        <w:rPr>
          <w:rFonts w:hint="eastAsia" w:ascii="仿宋" w:hAnsi="仿宋" w:eastAsia="仿宋" w:cs="仿宋"/>
          <w:b w:val="0"/>
          <w:bCs w:val="0"/>
          <w:color w:val="auto"/>
          <w:sz w:val="32"/>
          <w:szCs w:val="32"/>
        </w:rPr>
        <w:t>‰，</w:t>
      </w:r>
      <w:r>
        <w:rPr>
          <w:rFonts w:hint="eastAsia" w:ascii="仿宋" w:hAnsi="仿宋" w:eastAsia="仿宋" w:cs="仿宋"/>
          <w:b w:val="0"/>
          <w:bCs w:val="0"/>
          <w:color w:val="auto"/>
          <w:sz w:val="32"/>
          <w:szCs w:val="32"/>
          <w:lang w:val="en-US" w:eastAsia="zh-CN"/>
        </w:rPr>
        <w:t>人</w:t>
      </w:r>
      <w:bookmarkStart w:id="0" w:name="_GoBack"/>
      <w:bookmarkEnd w:id="0"/>
      <w:r>
        <w:rPr>
          <w:rFonts w:hint="eastAsia" w:ascii="仿宋" w:hAnsi="仿宋" w:eastAsia="仿宋" w:cs="仿宋"/>
          <w:b w:val="0"/>
          <w:bCs w:val="0"/>
          <w:color w:val="auto"/>
          <w:sz w:val="32"/>
          <w:szCs w:val="32"/>
          <w:lang w:val="en-US" w:eastAsia="zh-CN"/>
        </w:rPr>
        <w:t>口</w:t>
      </w:r>
      <w:r>
        <w:rPr>
          <w:rFonts w:hint="eastAsia" w:ascii="仿宋" w:hAnsi="仿宋" w:eastAsia="仿宋" w:cs="仿宋"/>
          <w:b w:val="0"/>
          <w:bCs w:val="0"/>
          <w:color w:val="auto"/>
          <w:sz w:val="32"/>
          <w:szCs w:val="32"/>
        </w:rPr>
        <w:t>自然增长率</w:t>
      </w:r>
      <w:r>
        <w:rPr>
          <w:rFonts w:hint="eastAsia" w:ascii="仿宋" w:hAnsi="仿宋" w:eastAsia="仿宋" w:cs="仿宋"/>
          <w:b w:val="0"/>
          <w:bCs w:val="0"/>
          <w:color w:val="auto"/>
          <w:sz w:val="32"/>
          <w:szCs w:val="32"/>
          <w:lang w:val="en-US" w:eastAsia="zh-CN"/>
        </w:rPr>
        <w:t>8.18</w:t>
      </w:r>
      <w:r>
        <w:rPr>
          <w:rFonts w:hint="eastAsia" w:ascii="仿宋" w:hAnsi="仿宋" w:eastAsia="仿宋" w:cs="仿宋"/>
          <w:b w:val="0"/>
          <w:bCs w:val="0"/>
          <w:color w:val="auto"/>
          <w:sz w:val="32"/>
          <w:szCs w:val="32"/>
        </w:rPr>
        <w:t>‰。</w:t>
      </w:r>
    </w:p>
    <w:p w14:paraId="30766D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年末全</w:t>
      </w:r>
      <w:r>
        <w:rPr>
          <w:rFonts w:hint="eastAsia" w:ascii="仿宋" w:hAnsi="仿宋" w:eastAsia="仿宋" w:cs="仿宋"/>
          <w:sz w:val="32"/>
          <w:szCs w:val="32"/>
          <w:lang w:eastAsia="zh-CN"/>
        </w:rPr>
        <w:t>县</w:t>
      </w:r>
      <w:r>
        <w:rPr>
          <w:rFonts w:hint="eastAsia" w:ascii="仿宋" w:hAnsi="仿宋" w:eastAsia="仿宋" w:cs="仿宋"/>
          <w:sz w:val="32"/>
          <w:szCs w:val="32"/>
          <w:lang w:val="en-US" w:eastAsia="zh-CN"/>
        </w:rPr>
        <w:t>共有</w:t>
      </w:r>
      <w:r>
        <w:rPr>
          <w:rFonts w:hint="eastAsia" w:ascii="仿宋" w:hAnsi="仿宋" w:eastAsia="仿宋" w:cs="仿宋"/>
          <w:sz w:val="32"/>
          <w:szCs w:val="32"/>
        </w:rPr>
        <w:t>市场主体</w:t>
      </w:r>
      <w:r>
        <w:rPr>
          <w:rFonts w:hint="eastAsia" w:ascii="仿宋" w:hAnsi="仿宋" w:eastAsia="仿宋" w:cs="仿宋"/>
          <w:sz w:val="32"/>
          <w:szCs w:val="32"/>
          <w:lang w:val="en-US" w:eastAsia="zh-CN"/>
        </w:rPr>
        <w:t>3606</w:t>
      </w:r>
      <w:r>
        <w:rPr>
          <w:rFonts w:hint="eastAsia" w:ascii="仿宋" w:hAnsi="仿宋" w:eastAsia="仿宋" w:cs="仿宋"/>
          <w:sz w:val="32"/>
          <w:szCs w:val="32"/>
        </w:rPr>
        <w:t>户，比上年增长</w:t>
      </w:r>
      <w:r>
        <w:rPr>
          <w:rFonts w:hint="eastAsia" w:ascii="仿宋" w:hAnsi="仿宋" w:eastAsia="仿宋" w:cs="仿宋"/>
          <w:sz w:val="32"/>
          <w:szCs w:val="32"/>
          <w:lang w:val="en-US" w:eastAsia="zh-CN"/>
        </w:rPr>
        <w:t>2</w:t>
      </w:r>
      <w:r>
        <w:rPr>
          <w:rFonts w:hint="eastAsia" w:ascii="仿宋" w:hAnsi="仿宋" w:eastAsia="仿宋" w:cs="仿宋"/>
          <w:sz w:val="32"/>
          <w:szCs w:val="32"/>
        </w:rPr>
        <w:t>%。</w:t>
      </w:r>
    </w:p>
    <w:p w14:paraId="1BE7C7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二、农牧业</w:t>
      </w:r>
    </w:p>
    <w:p w14:paraId="24BACB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全县农作物总播种面积10.14万亩，</w:t>
      </w:r>
      <w:r>
        <w:rPr>
          <w:rFonts w:hint="eastAsia" w:ascii="仿宋" w:hAnsi="仿宋" w:eastAsia="仿宋" w:cs="仿宋"/>
          <w:color w:val="000000" w:themeColor="text1"/>
          <w:sz w:val="32"/>
          <w:szCs w:val="32"/>
          <w:highlight w:val="none"/>
          <w:lang w:val="en-US" w:eastAsia="zh-CN"/>
          <w14:textFill>
            <w14:solidFill>
              <w14:schemeClr w14:val="tx1"/>
            </w14:solidFill>
          </w14:textFill>
        </w:rPr>
        <w:t>与</w:t>
      </w:r>
      <w:r>
        <w:rPr>
          <w:rFonts w:hint="eastAsia" w:ascii="仿宋" w:hAnsi="仿宋" w:eastAsia="仿宋" w:cs="仿宋"/>
          <w:color w:val="000000" w:themeColor="text1"/>
          <w:sz w:val="32"/>
          <w:szCs w:val="32"/>
          <w:highlight w:val="none"/>
          <w14:textFill>
            <w14:solidFill>
              <w14:schemeClr w14:val="tx1"/>
            </w14:solidFill>
          </w14:textFill>
        </w:rPr>
        <w:t>上年持平。其中，青稞播种面积6.45万亩，</w:t>
      </w:r>
      <w:r>
        <w:rPr>
          <w:rFonts w:hint="eastAsia" w:ascii="仿宋" w:hAnsi="仿宋" w:eastAsia="仿宋" w:cs="仿宋"/>
          <w:color w:val="000000" w:themeColor="text1"/>
          <w:sz w:val="32"/>
          <w:szCs w:val="32"/>
          <w:highlight w:val="none"/>
          <w:lang w:val="en-US" w:eastAsia="zh-CN"/>
          <w14:textFill>
            <w14:solidFill>
              <w14:schemeClr w14:val="tx1"/>
            </w14:solidFill>
          </w14:textFill>
        </w:rPr>
        <w:t>与</w:t>
      </w:r>
      <w:r>
        <w:rPr>
          <w:rFonts w:hint="eastAsia" w:ascii="仿宋" w:hAnsi="仿宋" w:eastAsia="仿宋" w:cs="仿宋"/>
          <w:color w:val="000000" w:themeColor="text1"/>
          <w:sz w:val="32"/>
          <w:szCs w:val="32"/>
          <w:highlight w:val="none"/>
          <w14:textFill>
            <w14:solidFill>
              <w14:schemeClr w14:val="tx1"/>
            </w14:solidFill>
          </w14:textFill>
        </w:rPr>
        <w:t>上年持平。</w:t>
      </w:r>
    </w:p>
    <w:p w14:paraId="4C8597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全年粮食总产量26505.88吨，比上年增长0.3%。其中青稞产量22230.25吨，增长0.02%。</w:t>
      </w:r>
    </w:p>
    <w:p w14:paraId="1993BB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年末牲畜存栏总数137922头（只、匹），比上年末减少4725 头（只、匹）。其中，牛129924头，减少8736头；羊3841只，增加86只。全年猪牛羊肉产量4343.91吨，比上年减少5.2%。生牛奶产量 9789.55吨，增长6.3%。</w:t>
      </w:r>
    </w:p>
    <w:p w14:paraId="1C28D9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rPr>
        <w:t>三、工业</w:t>
      </w:r>
    </w:p>
    <w:p w14:paraId="6D8CB2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202</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实现</w:t>
      </w:r>
      <w:r>
        <w:rPr>
          <w:rFonts w:hint="eastAsia" w:ascii="仿宋" w:hAnsi="仿宋" w:eastAsia="仿宋" w:cs="仿宋"/>
          <w:sz w:val="32"/>
          <w:szCs w:val="32"/>
          <w:highlight w:val="none"/>
        </w:rPr>
        <w:t>工业总产值</w:t>
      </w:r>
      <w:r>
        <w:rPr>
          <w:rFonts w:hint="eastAsia" w:ascii="仿宋" w:hAnsi="仿宋" w:eastAsia="仿宋" w:cs="仿宋"/>
          <w:sz w:val="32"/>
          <w:szCs w:val="32"/>
          <w:highlight w:val="none"/>
          <w:lang w:val="en-US" w:eastAsia="zh-CN"/>
        </w:rPr>
        <w:t>6517</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val="en-US" w:eastAsia="zh-CN"/>
        </w:rPr>
        <w:t>增速111.8</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p>
    <w:p w14:paraId="7FBEEA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drawing>
          <wp:anchor distT="0" distB="0" distL="114300" distR="114300" simplePos="0" relativeHeight="251661312" behindDoc="0" locked="0" layoutInCell="1" allowOverlap="1">
            <wp:simplePos x="0" y="0"/>
            <wp:positionH relativeFrom="column">
              <wp:posOffset>311150</wp:posOffset>
            </wp:positionH>
            <wp:positionV relativeFrom="paragraph">
              <wp:posOffset>29845</wp:posOffset>
            </wp:positionV>
            <wp:extent cx="5273675" cy="2687320"/>
            <wp:effectExtent l="0" t="0" r="3175" b="17780"/>
            <wp:wrapNone/>
            <wp:docPr id="14" name="图片 14" descr="d57f4f36b4dd8eff73742d0bb0688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57f4f36b4dd8eff73742d0bb0688077"/>
                    <pic:cNvPicPr>
                      <a:picLocks noChangeAspect="1"/>
                    </pic:cNvPicPr>
                  </pic:nvPicPr>
                  <pic:blipFill>
                    <a:blip r:embed="rId7"/>
                    <a:stretch>
                      <a:fillRect/>
                    </a:stretch>
                  </pic:blipFill>
                  <pic:spPr>
                    <a:xfrm>
                      <a:off x="0" y="0"/>
                      <a:ext cx="5273675" cy="2687320"/>
                    </a:xfrm>
                    <a:prstGeom prst="rect">
                      <a:avLst/>
                    </a:prstGeom>
                  </pic:spPr>
                </pic:pic>
              </a:graphicData>
            </a:graphic>
          </wp:anchor>
        </w:drawing>
      </w:r>
    </w:p>
    <w:p w14:paraId="52141C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p>
    <w:p w14:paraId="3A680E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p>
    <w:p w14:paraId="6D40A6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p>
    <w:p w14:paraId="2C8F67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p>
    <w:p w14:paraId="7EEC62F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highlight w:val="none"/>
          <w:lang w:val="en-US" w:eastAsia="zh-CN"/>
        </w:rPr>
      </w:pPr>
    </w:p>
    <w:p w14:paraId="4A98AAB2">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2C1FFE5D">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21BF1D01">
      <w:pPr>
        <w:keepNext w:val="0"/>
        <w:keepLines w:val="0"/>
        <w:widowControl/>
        <w:suppressLineNumbers w:val="0"/>
        <w:ind w:firstLine="2400" w:firstLineChars="1000"/>
        <w:jc w:val="left"/>
        <w:rPr>
          <w:rFonts w:ascii="宋体" w:hAnsi="宋体" w:eastAsia="宋体" w:cs="宋体"/>
          <w:kern w:val="0"/>
          <w:sz w:val="24"/>
          <w:szCs w:val="24"/>
          <w:lang w:val="en-US" w:eastAsia="zh-CN" w:bidi="ar"/>
        </w:rPr>
      </w:pPr>
    </w:p>
    <w:p w14:paraId="4185784B">
      <w:pPr>
        <w:keepNext w:val="0"/>
        <w:keepLines w:val="0"/>
        <w:widowControl/>
        <w:suppressLineNumbers w:val="0"/>
        <w:ind w:firstLine="2400" w:firstLineChars="1000"/>
        <w:jc w:val="left"/>
        <w:rPr>
          <w:rFonts w:hint="eastAsia" w:ascii="黑体" w:hAnsi="黑体" w:eastAsia="黑体" w:cs="黑体"/>
          <w:sz w:val="32"/>
          <w:szCs w:val="32"/>
          <w:lang w:val="en-US" w:eastAsia="zh-CN"/>
        </w:rPr>
      </w:pPr>
      <w:r>
        <w:rPr>
          <w:rFonts w:ascii="宋体" w:hAnsi="宋体" w:eastAsia="宋体" w:cs="宋体"/>
          <w:kern w:val="0"/>
          <w:sz w:val="24"/>
          <w:szCs w:val="24"/>
          <w:lang w:val="en-US" w:eastAsia="zh-CN" w:bidi="ar"/>
        </w:rPr>
        <w:t>图</w:t>
      </w: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 xml:space="preserve"> 20</w:t>
      </w:r>
      <w:r>
        <w:rPr>
          <w:rFonts w:hint="eastAsia" w:ascii="宋体" w:hAnsi="宋体" w:eastAsia="宋体" w:cs="宋体"/>
          <w:kern w:val="0"/>
          <w:sz w:val="24"/>
          <w:szCs w:val="24"/>
          <w:lang w:val="en-US" w:eastAsia="zh-CN" w:bidi="ar"/>
        </w:rPr>
        <w:t>21</w:t>
      </w:r>
      <w:r>
        <w:rPr>
          <w:rFonts w:ascii="宋体" w:hAnsi="宋体" w:eastAsia="宋体" w:cs="宋体"/>
          <w:kern w:val="0"/>
          <w:sz w:val="24"/>
          <w:szCs w:val="24"/>
          <w:lang w:val="en-US" w:eastAsia="zh-CN" w:bidi="ar"/>
        </w:rPr>
        <w:t>-202</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年</w:t>
      </w:r>
      <w:r>
        <w:rPr>
          <w:rFonts w:hint="eastAsia" w:ascii="宋体" w:hAnsi="宋体" w:eastAsia="宋体" w:cs="宋体"/>
          <w:kern w:val="0"/>
          <w:sz w:val="24"/>
          <w:szCs w:val="24"/>
          <w:lang w:val="en-US" w:eastAsia="zh-CN" w:bidi="ar"/>
        </w:rPr>
        <w:t>工</w:t>
      </w:r>
      <w:r>
        <w:rPr>
          <w:rFonts w:ascii="宋体" w:hAnsi="宋体" w:eastAsia="宋体" w:cs="宋体"/>
          <w:kern w:val="0"/>
          <w:sz w:val="24"/>
          <w:szCs w:val="24"/>
          <w:lang w:val="en-US" w:eastAsia="zh-CN" w:bidi="ar"/>
        </w:rPr>
        <w:t>业增加值及其增长速度</w:t>
      </w:r>
    </w:p>
    <w:p w14:paraId="1F0057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rPr>
        <w:t>、</w:t>
      </w:r>
      <w:r>
        <w:rPr>
          <w:rFonts w:hint="eastAsia" w:ascii="黑体" w:hAnsi="黑体" w:eastAsia="黑体" w:cs="黑体"/>
          <w:sz w:val="32"/>
          <w:szCs w:val="32"/>
          <w:lang w:val="en-US" w:eastAsia="zh-CN"/>
        </w:rPr>
        <w:t>建筑业</w:t>
      </w:r>
    </w:p>
    <w:p w14:paraId="50E268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u w:val="none"/>
          <w:lang w:val="en-US" w:eastAsia="zh-CN"/>
        </w:rPr>
      </w:pPr>
      <w:r>
        <w:rPr>
          <w:rFonts w:hint="eastAsia" w:ascii="黑体" w:hAnsi="黑体" w:eastAsia="黑体" w:cs="黑体"/>
          <w:sz w:val="32"/>
          <w:szCs w:val="32"/>
          <w:lang w:val="en-US" w:eastAsia="zh-CN"/>
        </w:rPr>
        <w:drawing>
          <wp:anchor distT="0" distB="0" distL="114300" distR="114300" simplePos="0" relativeHeight="251666432" behindDoc="0" locked="0" layoutInCell="1" allowOverlap="1">
            <wp:simplePos x="0" y="0"/>
            <wp:positionH relativeFrom="column">
              <wp:posOffset>227965</wp:posOffset>
            </wp:positionH>
            <wp:positionV relativeFrom="paragraph">
              <wp:posOffset>330200</wp:posOffset>
            </wp:positionV>
            <wp:extent cx="5246370" cy="2756535"/>
            <wp:effectExtent l="0" t="0" r="11430" b="5715"/>
            <wp:wrapNone/>
            <wp:docPr id="6" name="图片 6" descr="173dd24d7fdb8b681d3409884a9bd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3dd24d7fdb8b681d3409884a9bd494"/>
                    <pic:cNvPicPr>
                      <a:picLocks noChangeAspect="1"/>
                    </pic:cNvPicPr>
                  </pic:nvPicPr>
                  <pic:blipFill>
                    <a:blip r:embed="rId8"/>
                    <a:stretch>
                      <a:fillRect/>
                    </a:stretch>
                  </pic:blipFill>
                  <pic:spPr>
                    <a:xfrm>
                      <a:off x="0" y="0"/>
                      <a:ext cx="5246370" cy="2756535"/>
                    </a:xfrm>
                    <a:prstGeom prst="rect">
                      <a:avLst/>
                    </a:prstGeom>
                  </pic:spPr>
                </pic:pic>
              </a:graphicData>
            </a:graphic>
          </wp:anchor>
        </w:drawing>
      </w:r>
      <w:r>
        <w:rPr>
          <w:rFonts w:hint="eastAsia" w:ascii="仿宋" w:hAnsi="仿宋" w:eastAsia="仿宋" w:cs="仿宋"/>
          <w:b w:val="0"/>
          <w:bCs w:val="0"/>
          <w:sz w:val="32"/>
          <w:szCs w:val="32"/>
          <w:lang w:val="en-US" w:eastAsia="zh-CN"/>
        </w:rPr>
        <w:t>全年完成建筑业产值16255万元，同比增长</w:t>
      </w:r>
      <w:r>
        <w:rPr>
          <w:rFonts w:hint="eastAsia" w:ascii="仿宋" w:hAnsi="仿宋" w:eastAsia="仿宋" w:cs="仿宋"/>
          <w:b w:val="0"/>
          <w:bCs w:val="0"/>
          <w:color w:val="auto"/>
          <w:sz w:val="32"/>
          <w:szCs w:val="32"/>
          <w:lang w:val="en-US" w:eastAsia="zh-CN"/>
        </w:rPr>
        <w:t>364.9%</w:t>
      </w:r>
      <w:r>
        <w:rPr>
          <w:rFonts w:hint="eastAsia" w:ascii="仿宋" w:hAnsi="仿宋" w:eastAsia="仿宋" w:cs="仿宋"/>
          <w:b w:val="0"/>
          <w:bCs w:val="0"/>
          <w:color w:val="auto"/>
          <w:sz w:val="32"/>
          <w:szCs w:val="32"/>
          <w:u w:val="none"/>
          <w:lang w:val="en-US" w:eastAsia="zh-CN"/>
        </w:rPr>
        <w:t>。</w:t>
      </w:r>
    </w:p>
    <w:p w14:paraId="52417576">
      <w:pPr>
        <w:keepNext w:val="0"/>
        <w:keepLines w:val="0"/>
        <w:widowControl/>
        <w:suppressLineNumbers w:val="0"/>
        <w:jc w:val="left"/>
        <w:rPr>
          <w:rFonts w:ascii="宋体" w:hAnsi="宋体" w:eastAsia="宋体" w:cs="宋体"/>
          <w:kern w:val="0"/>
          <w:sz w:val="24"/>
          <w:szCs w:val="24"/>
          <w:lang w:val="en-US" w:eastAsia="zh-CN" w:bidi="ar"/>
        </w:rPr>
      </w:pPr>
    </w:p>
    <w:p w14:paraId="3DDFCDCE">
      <w:pPr>
        <w:keepNext w:val="0"/>
        <w:keepLines w:val="0"/>
        <w:widowControl/>
        <w:suppressLineNumbers w:val="0"/>
        <w:ind w:firstLine="2400" w:firstLineChars="1000"/>
        <w:jc w:val="left"/>
        <w:rPr>
          <w:rFonts w:ascii="宋体" w:hAnsi="宋体" w:eastAsia="宋体" w:cs="宋体"/>
          <w:kern w:val="0"/>
          <w:sz w:val="24"/>
          <w:szCs w:val="24"/>
          <w:lang w:val="en-US" w:eastAsia="zh-CN" w:bidi="ar"/>
        </w:rPr>
      </w:pPr>
    </w:p>
    <w:p w14:paraId="1FA01741">
      <w:pPr>
        <w:keepNext w:val="0"/>
        <w:keepLines w:val="0"/>
        <w:widowControl/>
        <w:suppressLineNumbers w:val="0"/>
        <w:ind w:firstLine="2400" w:firstLineChars="1000"/>
        <w:jc w:val="left"/>
        <w:rPr>
          <w:rFonts w:ascii="宋体" w:hAnsi="宋体" w:eastAsia="宋体" w:cs="宋体"/>
          <w:kern w:val="0"/>
          <w:sz w:val="24"/>
          <w:szCs w:val="24"/>
          <w:lang w:val="en-US" w:eastAsia="zh-CN" w:bidi="ar"/>
        </w:rPr>
      </w:pPr>
    </w:p>
    <w:p w14:paraId="05D4D5BC">
      <w:pPr>
        <w:keepNext w:val="0"/>
        <w:keepLines w:val="0"/>
        <w:widowControl/>
        <w:suppressLineNumbers w:val="0"/>
        <w:ind w:firstLine="2400" w:firstLineChars="1000"/>
        <w:jc w:val="left"/>
        <w:rPr>
          <w:rFonts w:ascii="宋体" w:hAnsi="宋体" w:eastAsia="宋体" w:cs="宋体"/>
          <w:kern w:val="0"/>
          <w:sz w:val="24"/>
          <w:szCs w:val="24"/>
          <w:lang w:val="en-US" w:eastAsia="zh-CN" w:bidi="ar"/>
        </w:rPr>
      </w:pPr>
    </w:p>
    <w:p w14:paraId="02FE8476">
      <w:pPr>
        <w:keepNext w:val="0"/>
        <w:keepLines w:val="0"/>
        <w:widowControl/>
        <w:suppressLineNumbers w:val="0"/>
        <w:ind w:firstLine="2400" w:firstLineChars="1000"/>
        <w:jc w:val="left"/>
        <w:rPr>
          <w:rFonts w:ascii="宋体" w:hAnsi="宋体" w:eastAsia="宋体" w:cs="宋体"/>
          <w:kern w:val="0"/>
          <w:sz w:val="24"/>
          <w:szCs w:val="24"/>
          <w:lang w:val="en-US" w:eastAsia="zh-CN" w:bidi="ar"/>
        </w:rPr>
      </w:pPr>
    </w:p>
    <w:p w14:paraId="653FE014">
      <w:pPr>
        <w:keepNext w:val="0"/>
        <w:keepLines w:val="0"/>
        <w:widowControl/>
        <w:suppressLineNumbers w:val="0"/>
        <w:ind w:firstLine="2400" w:firstLineChars="1000"/>
        <w:jc w:val="left"/>
        <w:rPr>
          <w:rFonts w:ascii="宋体" w:hAnsi="宋体" w:eastAsia="宋体" w:cs="宋体"/>
          <w:kern w:val="0"/>
          <w:sz w:val="24"/>
          <w:szCs w:val="24"/>
          <w:lang w:val="en-US" w:eastAsia="zh-CN" w:bidi="ar"/>
        </w:rPr>
      </w:pPr>
    </w:p>
    <w:p w14:paraId="697B21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p>
    <w:p w14:paraId="2841A7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p>
    <w:p w14:paraId="0BFD12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p>
    <w:p w14:paraId="326BAC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p>
    <w:p w14:paraId="7234A67A">
      <w:pPr>
        <w:keepNext w:val="0"/>
        <w:keepLines w:val="0"/>
        <w:widowControl/>
        <w:suppressLineNumbers w:val="0"/>
        <w:ind w:firstLine="1920" w:firstLineChars="800"/>
        <w:jc w:val="left"/>
        <w:rPr>
          <w:rFonts w:ascii="宋体" w:hAnsi="宋体" w:eastAsia="宋体" w:cs="宋体"/>
          <w:kern w:val="0"/>
          <w:sz w:val="24"/>
          <w:szCs w:val="24"/>
          <w:lang w:val="en-US" w:eastAsia="zh-CN" w:bidi="ar"/>
        </w:rPr>
      </w:pPr>
    </w:p>
    <w:p w14:paraId="6685D1AD">
      <w:pPr>
        <w:keepNext w:val="0"/>
        <w:keepLines w:val="0"/>
        <w:widowControl/>
        <w:suppressLineNumbers w:val="0"/>
        <w:ind w:firstLine="1920" w:firstLineChars="8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图</w:t>
      </w:r>
      <w:r>
        <w:rPr>
          <w:rFonts w:hint="eastAsia" w:ascii="宋体" w:hAnsi="宋体" w:eastAsia="宋体" w:cs="宋体"/>
          <w:kern w:val="0"/>
          <w:sz w:val="24"/>
          <w:szCs w:val="24"/>
          <w:lang w:val="en-US" w:eastAsia="zh-CN" w:bidi="ar"/>
        </w:rPr>
        <w:t>4</w:t>
      </w:r>
      <w:r>
        <w:rPr>
          <w:rFonts w:ascii="宋体" w:hAnsi="宋体" w:eastAsia="宋体" w:cs="宋体"/>
          <w:kern w:val="0"/>
          <w:sz w:val="24"/>
          <w:szCs w:val="24"/>
          <w:lang w:val="en-US" w:eastAsia="zh-CN" w:bidi="ar"/>
        </w:rPr>
        <w:t xml:space="preserve"> 20</w:t>
      </w:r>
      <w:r>
        <w:rPr>
          <w:rFonts w:hint="eastAsia" w:ascii="宋体" w:hAnsi="宋体" w:eastAsia="宋体" w:cs="宋体"/>
          <w:kern w:val="0"/>
          <w:sz w:val="24"/>
          <w:szCs w:val="24"/>
          <w:lang w:val="en-US" w:eastAsia="zh-CN" w:bidi="ar"/>
        </w:rPr>
        <w:t>21</w:t>
      </w:r>
      <w:r>
        <w:rPr>
          <w:rFonts w:ascii="宋体" w:hAnsi="宋体" w:eastAsia="宋体" w:cs="宋体"/>
          <w:kern w:val="0"/>
          <w:sz w:val="24"/>
          <w:szCs w:val="24"/>
          <w:lang w:val="en-US" w:eastAsia="zh-CN" w:bidi="ar"/>
        </w:rPr>
        <w:t>-202</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年</w:t>
      </w:r>
      <w:r>
        <w:rPr>
          <w:rFonts w:hint="eastAsia" w:ascii="宋体" w:hAnsi="宋体" w:eastAsia="宋体" w:cs="宋体"/>
          <w:kern w:val="0"/>
          <w:sz w:val="24"/>
          <w:szCs w:val="24"/>
          <w:lang w:val="en-US" w:eastAsia="zh-CN" w:bidi="ar"/>
        </w:rPr>
        <w:t>建筑</w:t>
      </w:r>
      <w:r>
        <w:rPr>
          <w:rFonts w:ascii="宋体" w:hAnsi="宋体" w:eastAsia="宋体" w:cs="宋体"/>
          <w:kern w:val="0"/>
          <w:sz w:val="24"/>
          <w:szCs w:val="24"/>
          <w:lang w:val="en-US" w:eastAsia="zh-CN" w:bidi="ar"/>
        </w:rPr>
        <w:t>业</w:t>
      </w:r>
      <w:r>
        <w:rPr>
          <w:rFonts w:hint="eastAsia" w:ascii="宋体" w:hAnsi="宋体" w:eastAsia="宋体" w:cs="宋体"/>
          <w:kern w:val="0"/>
          <w:sz w:val="24"/>
          <w:szCs w:val="24"/>
          <w:lang w:val="en-US" w:eastAsia="zh-CN" w:bidi="ar"/>
        </w:rPr>
        <w:t>产</w:t>
      </w:r>
      <w:r>
        <w:rPr>
          <w:rFonts w:ascii="宋体" w:hAnsi="宋体" w:eastAsia="宋体" w:cs="宋体"/>
          <w:kern w:val="0"/>
          <w:sz w:val="24"/>
          <w:szCs w:val="24"/>
          <w:lang w:val="en-US" w:eastAsia="zh-CN" w:bidi="ar"/>
        </w:rPr>
        <w:t>值及其增长速度</w:t>
      </w:r>
    </w:p>
    <w:p w14:paraId="45F8BD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、固定资产投资</w:t>
      </w:r>
    </w:p>
    <w:p w14:paraId="61FB7A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全年固定资产投资总额</w:t>
      </w:r>
      <w:r>
        <w:rPr>
          <w:rFonts w:hint="eastAsia" w:ascii="仿宋" w:hAnsi="仿宋" w:eastAsia="仿宋" w:cs="仿宋"/>
          <w:sz w:val="32"/>
          <w:szCs w:val="32"/>
          <w:highlight w:val="none"/>
          <w:lang w:val="en-US" w:eastAsia="zh-CN"/>
        </w:rPr>
        <w:t>增速下降6.3</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其中</w:t>
      </w:r>
      <w:r>
        <w:rPr>
          <w:rFonts w:hint="eastAsia" w:ascii="仿宋" w:hAnsi="仿宋" w:eastAsia="仿宋" w:cs="仿宋"/>
          <w:sz w:val="32"/>
          <w:szCs w:val="32"/>
          <w:highlight w:val="none"/>
          <w:lang w:eastAsia="zh-CN"/>
        </w:rPr>
        <w:t>民间投资额</w:t>
      </w:r>
      <w:r>
        <w:rPr>
          <w:rFonts w:hint="eastAsia" w:ascii="仿宋" w:hAnsi="仿宋" w:eastAsia="仿宋" w:cs="仿宋"/>
          <w:sz w:val="32"/>
          <w:szCs w:val="32"/>
          <w:highlight w:val="none"/>
          <w:lang w:val="en-US" w:eastAsia="zh-CN"/>
        </w:rPr>
        <w:t>下降61.5</w:t>
      </w:r>
      <w:r>
        <w:rPr>
          <w:rFonts w:hint="eastAsia" w:ascii="仿宋" w:hAnsi="仿宋" w:eastAsia="仿宋" w:cs="仿宋"/>
          <w:sz w:val="32"/>
          <w:szCs w:val="32"/>
          <w:highlight w:val="none"/>
          <w:lang w:eastAsia="zh-CN"/>
        </w:rPr>
        <w:t>%。</w:t>
      </w:r>
    </w:p>
    <w:p w14:paraId="15E5CD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drawing>
          <wp:anchor distT="0" distB="0" distL="114300" distR="114300" simplePos="0" relativeHeight="251662336" behindDoc="0" locked="0" layoutInCell="1" allowOverlap="1">
            <wp:simplePos x="0" y="0"/>
            <wp:positionH relativeFrom="column">
              <wp:posOffset>222250</wp:posOffset>
            </wp:positionH>
            <wp:positionV relativeFrom="paragraph">
              <wp:posOffset>17780</wp:posOffset>
            </wp:positionV>
            <wp:extent cx="5176520" cy="2526665"/>
            <wp:effectExtent l="0" t="0" r="5080" b="6985"/>
            <wp:wrapNone/>
            <wp:docPr id="16" name="图片 16" descr="8a7574b6d5a576b95aad1c1dbbc88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8a7574b6d5a576b95aad1c1dbbc88997"/>
                    <pic:cNvPicPr>
                      <a:picLocks noChangeAspect="1"/>
                    </pic:cNvPicPr>
                  </pic:nvPicPr>
                  <pic:blipFill>
                    <a:blip r:embed="rId9"/>
                    <a:stretch>
                      <a:fillRect/>
                    </a:stretch>
                  </pic:blipFill>
                  <pic:spPr>
                    <a:xfrm>
                      <a:off x="0" y="0"/>
                      <a:ext cx="5176520" cy="2526665"/>
                    </a:xfrm>
                    <a:prstGeom prst="rect">
                      <a:avLst/>
                    </a:prstGeom>
                  </pic:spPr>
                </pic:pic>
              </a:graphicData>
            </a:graphic>
          </wp:anchor>
        </w:drawing>
      </w:r>
    </w:p>
    <w:p w14:paraId="36BBA5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p>
    <w:p w14:paraId="1882A8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p>
    <w:p w14:paraId="426521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p>
    <w:p w14:paraId="56BB00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p>
    <w:p w14:paraId="1D8B5C5A">
      <w:pPr>
        <w:keepNext w:val="0"/>
        <w:keepLines w:val="0"/>
        <w:pageBreakBefore w:val="0"/>
        <w:widowControl w:val="0"/>
        <w:kinsoku/>
        <w:wordWrap/>
        <w:overflowPunct/>
        <w:topLinePunct w:val="0"/>
        <w:autoSpaceDE/>
        <w:autoSpaceDN/>
        <w:bidi w:val="0"/>
        <w:adjustRightInd/>
        <w:snapToGrid/>
        <w:spacing w:line="560" w:lineRule="exact"/>
        <w:ind w:firstLine="240" w:firstLineChars="100"/>
        <w:textAlignment w:val="auto"/>
        <w:rPr>
          <w:rFonts w:hint="eastAsia" w:ascii="宋体" w:hAnsi="宋体" w:eastAsia="宋体" w:cs="宋体"/>
          <w:sz w:val="24"/>
          <w:szCs w:val="24"/>
        </w:rPr>
      </w:pPr>
    </w:p>
    <w:p w14:paraId="3D4AA922">
      <w:pPr>
        <w:keepNext w:val="0"/>
        <w:keepLines w:val="0"/>
        <w:pageBreakBefore w:val="0"/>
        <w:widowControl w:val="0"/>
        <w:kinsoku/>
        <w:wordWrap/>
        <w:overflowPunct/>
        <w:topLinePunct w:val="0"/>
        <w:autoSpaceDE/>
        <w:autoSpaceDN/>
        <w:bidi w:val="0"/>
        <w:adjustRightInd/>
        <w:snapToGrid/>
        <w:spacing w:line="560" w:lineRule="exact"/>
        <w:ind w:firstLine="1920" w:firstLineChars="800"/>
        <w:textAlignment w:val="auto"/>
        <w:rPr>
          <w:rFonts w:hint="eastAsia" w:ascii="宋体" w:hAnsi="宋体" w:eastAsia="宋体" w:cs="宋体"/>
          <w:sz w:val="24"/>
          <w:szCs w:val="24"/>
        </w:rPr>
      </w:pPr>
    </w:p>
    <w:p w14:paraId="34F6CE05">
      <w:pPr>
        <w:keepNext w:val="0"/>
        <w:keepLines w:val="0"/>
        <w:pageBreakBefore w:val="0"/>
        <w:widowControl w:val="0"/>
        <w:kinsoku/>
        <w:wordWrap/>
        <w:overflowPunct/>
        <w:topLinePunct w:val="0"/>
        <w:autoSpaceDE/>
        <w:autoSpaceDN/>
        <w:bidi w:val="0"/>
        <w:adjustRightInd/>
        <w:snapToGrid/>
        <w:spacing w:line="560" w:lineRule="exact"/>
        <w:ind w:firstLine="1920" w:firstLineChars="800"/>
        <w:textAlignment w:val="auto"/>
        <w:rPr>
          <w:rFonts w:hint="eastAsia" w:ascii="黑体" w:hAnsi="黑体" w:eastAsia="黑体" w:cs="黑体"/>
          <w:sz w:val="32"/>
          <w:szCs w:val="32"/>
        </w:rPr>
      </w:pPr>
      <w:r>
        <w:rPr>
          <w:rFonts w:hint="eastAsia" w:ascii="宋体" w:hAnsi="宋体" w:eastAsia="宋体" w:cs="宋体"/>
          <w:sz w:val="24"/>
          <w:szCs w:val="24"/>
        </w:rPr>
        <w:t>图</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 20</w:t>
      </w:r>
      <w:r>
        <w:rPr>
          <w:rFonts w:hint="eastAsia" w:ascii="宋体" w:hAnsi="宋体" w:eastAsia="宋体" w:cs="宋体"/>
          <w:sz w:val="24"/>
          <w:szCs w:val="24"/>
          <w:lang w:val="en-US" w:eastAsia="zh-CN"/>
        </w:rPr>
        <w:t>21</w:t>
      </w:r>
      <w:r>
        <w:rPr>
          <w:rFonts w:hint="eastAsia" w:ascii="宋体" w:hAnsi="宋体" w:eastAsia="宋体" w:cs="宋体"/>
          <w:sz w:val="24"/>
          <w:szCs w:val="24"/>
        </w:rPr>
        <w:t>-202</w:t>
      </w:r>
      <w:r>
        <w:rPr>
          <w:rFonts w:hint="eastAsia" w:ascii="宋体" w:hAnsi="宋体" w:eastAsia="宋体" w:cs="宋体"/>
          <w:sz w:val="24"/>
          <w:szCs w:val="24"/>
          <w:lang w:val="en-US" w:eastAsia="zh-CN"/>
        </w:rPr>
        <w:t>5</w:t>
      </w:r>
      <w:r>
        <w:rPr>
          <w:rFonts w:hint="eastAsia" w:ascii="宋体" w:hAnsi="宋体" w:eastAsia="宋体" w:cs="宋体"/>
          <w:sz w:val="24"/>
          <w:szCs w:val="24"/>
        </w:rPr>
        <w:t>年全社会固定资产投资增长速度</w:t>
      </w:r>
    </w:p>
    <w:p w14:paraId="549F15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、国内贸易</w:t>
      </w:r>
    </w:p>
    <w:p w14:paraId="5B7E80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u w:val="none"/>
        </w:rPr>
      </w:pPr>
      <w:r>
        <w:rPr>
          <w:rFonts w:hint="eastAsia" w:ascii="仿宋" w:hAnsi="仿宋" w:eastAsia="仿宋" w:cs="仿宋"/>
          <w:sz w:val="32"/>
          <w:szCs w:val="32"/>
          <w:highlight w:val="none"/>
        </w:rPr>
        <w:t>全年社会消费品零售总额</w:t>
      </w:r>
      <w:r>
        <w:rPr>
          <w:rFonts w:hint="eastAsia" w:ascii="仿宋" w:hAnsi="仿宋" w:eastAsia="仿宋" w:cs="仿宋"/>
          <w:sz w:val="32"/>
          <w:szCs w:val="32"/>
          <w:highlight w:val="none"/>
          <w:lang w:val="en-US" w:eastAsia="zh-CN"/>
        </w:rPr>
        <w:t>52573</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val="en-US" w:eastAsia="zh-CN"/>
        </w:rPr>
        <w:t>增速3.4</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p>
    <w:p w14:paraId="01A00F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u w:val="none"/>
        </w:rPr>
      </w:pPr>
      <w:r>
        <w:rPr>
          <w:rFonts w:hint="eastAsia" w:ascii="仿宋" w:hAnsi="仿宋" w:eastAsia="仿宋" w:cs="仿宋"/>
          <w:color w:val="auto"/>
          <w:sz w:val="32"/>
          <w:szCs w:val="32"/>
          <w:u w:val="none"/>
          <w:lang w:eastAsia="zh-CN"/>
        </w:rPr>
        <w:drawing>
          <wp:anchor distT="0" distB="0" distL="114300" distR="114300" simplePos="0" relativeHeight="251664384" behindDoc="0" locked="0" layoutInCell="1" allowOverlap="1">
            <wp:simplePos x="0" y="0"/>
            <wp:positionH relativeFrom="column">
              <wp:posOffset>50800</wp:posOffset>
            </wp:positionH>
            <wp:positionV relativeFrom="paragraph">
              <wp:posOffset>14605</wp:posOffset>
            </wp:positionV>
            <wp:extent cx="5270500" cy="2656840"/>
            <wp:effectExtent l="0" t="0" r="6350" b="10160"/>
            <wp:wrapNone/>
            <wp:docPr id="18" name="图片 18" descr="b323d1f0a4dcfc545afa2b4a02381b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b323d1f0a4dcfc545afa2b4a02381b20"/>
                    <pic:cNvPicPr>
                      <a:picLocks noChangeAspect="1"/>
                    </pic:cNvPicPr>
                  </pic:nvPicPr>
                  <pic:blipFill>
                    <a:blip r:embed="rId10"/>
                    <a:stretch>
                      <a:fillRect/>
                    </a:stretch>
                  </pic:blipFill>
                  <pic:spPr>
                    <a:xfrm>
                      <a:off x="0" y="0"/>
                      <a:ext cx="5270500" cy="2656840"/>
                    </a:xfrm>
                    <a:prstGeom prst="rect">
                      <a:avLst/>
                    </a:prstGeom>
                  </pic:spPr>
                </pic:pic>
              </a:graphicData>
            </a:graphic>
          </wp:anchor>
        </w:drawing>
      </w:r>
    </w:p>
    <w:p w14:paraId="5E1426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u w:val="none"/>
        </w:rPr>
      </w:pPr>
    </w:p>
    <w:p w14:paraId="172FDC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u w:val="none"/>
        </w:rPr>
      </w:pPr>
    </w:p>
    <w:p w14:paraId="28D587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u w:val="none"/>
          <w:lang w:eastAsia="zh-CN"/>
        </w:rPr>
      </w:pPr>
    </w:p>
    <w:p w14:paraId="760865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u w:val="none"/>
        </w:rPr>
      </w:pPr>
    </w:p>
    <w:p w14:paraId="2EF7BB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u w:val="none"/>
        </w:rPr>
      </w:pPr>
    </w:p>
    <w:p w14:paraId="31050E60">
      <w:pPr>
        <w:keepNext w:val="0"/>
        <w:keepLines w:val="0"/>
        <w:widowControl/>
        <w:suppressLineNumbers w:val="0"/>
        <w:ind w:firstLine="240" w:firstLineChars="100"/>
        <w:jc w:val="left"/>
        <w:rPr>
          <w:rFonts w:ascii="宋体" w:hAnsi="宋体" w:eastAsia="宋体" w:cs="宋体"/>
          <w:kern w:val="0"/>
          <w:sz w:val="24"/>
          <w:szCs w:val="24"/>
          <w:lang w:val="en-US" w:eastAsia="zh-CN" w:bidi="ar"/>
        </w:rPr>
      </w:pPr>
    </w:p>
    <w:p w14:paraId="7AB60CCB">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3A5534CA">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40AA5DA3">
      <w:pPr>
        <w:keepNext w:val="0"/>
        <w:keepLines w:val="0"/>
        <w:widowControl/>
        <w:suppressLineNumbers w:val="0"/>
        <w:ind w:firstLine="1680" w:firstLineChars="700"/>
        <w:jc w:val="left"/>
        <w:rPr>
          <w:rFonts w:hint="eastAsia" w:ascii="黑体" w:hAnsi="黑体" w:eastAsia="黑体" w:cs="黑体"/>
          <w:sz w:val="32"/>
          <w:szCs w:val="32"/>
        </w:rPr>
      </w:pPr>
      <w:r>
        <w:rPr>
          <w:rFonts w:ascii="宋体" w:hAnsi="宋体" w:eastAsia="宋体" w:cs="宋体"/>
          <w:kern w:val="0"/>
          <w:sz w:val="24"/>
          <w:szCs w:val="24"/>
          <w:lang w:val="en-US" w:eastAsia="zh-CN" w:bidi="ar"/>
        </w:rPr>
        <w:t>图</w:t>
      </w:r>
      <w:r>
        <w:rPr>
          <w:rFonts w:hint="eastAsia" w:ascii="宋体" w:hAnsi="宋体" w:eastAsia="宋体" w:cs="宋体"/>
          <w:kern w:val="0"/>
          <w:sz w:val="24"/>
          <w:szCs w:val="24"/>
          <w:lang w:val="en-US" w:eastAsia="zh-CN" w:bidi="ar"/>
        </w:rPr>
        <w:t xml:space="preserve">6 </w:t>
      </w:r>
      <w:r>
        <w:rPr>
          <w:rFonts w:ascii="宋体" w:hAnsi="宋体" w:eastAsia="宋体" w:cs="宋体"/>
          <w:kern w:val="0"/>
          <w:sz w:val="24"/>
          <w:szCs w:val="24"/>
          <w:lang w:val="en-US" w:eastAsia="zh-CN" w:bidi="ar"/>
        </w:rPr>
        <w:t>20</w:t>
      </w:r>
      <w:r>
        <w:rPr>
          <w:rFonts w:hint="eastAsia" w:ascii="宋体" w:hAnsi="宋体" w:eastAsia="宋体" w:cs="宋体"/>
          <w:kern w:val="0"/>
          <w:sz w:val="24"/>
          <w:szCs w:val="24"/>
          <w:lang w:val="en-US" w:eastAsia="zh-CN" w:bidi="ar"/>
        </w:rPr>
        <w:t>21</w:t>
      </w:r>
      <w:r>
        <w:rPr>
          <w:rFonts w:ascii="宋体" w:hAnsi="宋体" w:eastAsia="宋体" w:cs="宋体"/>
          <w:kern w:val="0"/>
          <w:sz w:val="24"/>
          <w:szCs w:val="24"/>
          <w:lang w:val="en-US" w:eastAsia="zh-CN" w:bidi="ar"/>
        </w:rPr>
        <w:t>-202</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年社会消费品零售总额及其增长速度</w:t>
      </w:r>
    </w:p>
    <w:p w14:paraId="388389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、交通、邮电和旅游</w:t>
      </w:r>
    </w:p>
    <w:p w14:paraId="11AD80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auto"/>
          <w:sz w:val="32"/>
          <w:szCs w:val="32"/>
          <w:highlight w:val="none"/>
          <w:lang w:val="en-US" w:eastAsia="zh-CN"/>
        </w:rPr>
        <w:t>全年完成</w:t>
      </w:r>
      <w:r>
        <w:rPr>
          <w:rFonts w:hint="eastAsia" w:ascii="仿宋" w:hAnsi="仿宋" w:eastAsia="仿宋" w:cs="仿宋"/>
          <w:color w:val="auto"/>
          <w:sz w:val="32"/>
          <w:szCs w:val="32"/>
          <w:highlight w:val="none"/>
        </w:rPr>
        <w:t>公路交通运输客运量</w:t>
      </w:r>
      <w:r>
        <w:rPr>
          <w:rFonts w:hint="eastAsia" w:ascii="仿宋" w:hAnsi="仿宋" w:eastAsia="仿宋" w:cs="仿宋"/>
          <w:color w:val="auto"/>
          <w:sz w:val="32"/>
          <w:szCs w:val="32"/>
          <w:highlight w:val="none"/>
          <w:lang w:val="en-US" w:eastAsia="zh-CN"/>
        </w:rPr>
        <w:t>6.1</w:t>
      </w:r>
      <w:r>
        <w:rPr>
          <w:rFonts w:hint="eastAsia" w:ascii="仿宋" w:hAnsi="仿宋" w:eastAsia="仿宋" w:cs="仿宋"/>
          <w:color w:val="auto"/>
          <w:sz w:val="32"/>
          <w:szCs w:val="32"/>
          <w:highlight w:val="none"/>
        </w:rPr>
        <w:t>万人次，</w:t>
      </w:r>
      <w:r>
        <w:rPr>
          <w:rFonts w:hint="eastAsia" w:ascii="仿宋" w:hAnsi="仿宋" w:eastAsia="仿宋" w:cs="仿宋"/>
          <w:color w:val="auto"/>
          <w:sz w:val="32"/>
          <w:szCs w:val="32"/>
          <w:highlight w:val="none"/>
          <w:lang w:val="en-US" w:eastAsia="zh-CN"/>
        </w:rPr>
        <w:t>比上年增长19.8</w:t>
      </w:r>
      <w:r>
        <w:rPr>
          <w:rFonts w:hint="eastAsia" w:ascii="仿宋" w:hAnsi="仿宋" w:eastAsia="仿宋" w:cs="仿宋"/>
          <w:color w:val="auto"/>
          <w:sz w:val="32"/>
          <w:szCs w:val="32"/>
          <w:highlight w:val="none"/>
        </w:rPr>
        <w:t>%；</w:t>
      </w:r>
      <w:r>
        <w:rPr>
          <w:rFonts w:hint="eastAsia" w:ascii="仿宋" w:hAnsi="仿宋" w:eastAsia="仿宋" w:cs="仿宋"/>
          <w:color w:val="000000" w:themeColor="text1"/>
          <w:sz w:val="32"/>
          <w:szCs w:val="32"/>
          <w:highlight w:val="none"/>
          <w14:textFill>
            <w14:solidFill>
              <w14:schemeClr w14:val="tx1"/>
            </w14:solidFill>
          </w14:textFill>
        </w:rPr>
        <w:t>公路货运量完成</w:t>
      </w:r>
      <w:r>
        <w:rPr>
          <w:rFonts w:hint="eastAsia" w:ascii="仿宋" w:hAnsi="仿宋" w:eastAsia="仿宋" w:cs="仿宋"/>
          <w:color w:val="000000" w:themeColor="text1"/>
          <w:sz w:val="32"/>
          <w:szCs w:val="32"/>
          <w:highlight w:val="none"/>
          <w:lang w:val="en-US" w:eastAsia="zh-CN"/>
          <w14:textFill>
            <w14:solidFill>
              <w14:schemeClr w14:val="tx1"/>
            </w14:solidFill>
          </w14:textFill>
        </w:rPr>
        <w:t>32</w:t>
      </w:r>
      <w:r>
        <w:rPr>
          <w:rFonts w:hint="eastAsia" w:ascii="仿宋" w:hAnsi="仿宋" w:eastAsia="仿宋" w:cs="仿宋"/>
          <w:color w:val="000000" w:themeColor="text1"/>
          <w:sz w:val="32"/>
          <w:szCs w:val="32"/>
          <w:highlight w:val="none"/>
          <w14:textFill>
            <w14:solidFill>
              <w14:schemeClr w14:val="tx1"/>
            </w14:solidFill>
          </w14:textFill>
        </w:rPr>
        <w:t>万吨，</w:t>
      </w:r>
      <w:r>
        <w:rPr>
          <w:rFonts w:hint="eastAsia" w:ascii="仿宋" w:hAnsi="仿宋" w:eastAsia="仿宋" w:cs="仿宋"/>
          <w:color w:val="000000" w:themeColor="text1"/>
          <w:sz w:val="32"/>
          <w:szCs w:val="32"/>
          <w:highlight w:val="none"/>
          <w:lang w:val="en-US" w:eastAsia="zh-CN"/>
          <w14:textFill>
            <w14:solidFill>
              <w14:schemeClr w14:val="tx1"/>
            </w14:solidFill>
          </w14:textFill>
        </w:rPr>
        <w:t>比上年增长14.7</w:t>
      </w:r>
      <w:r>
        <w:rPr>
          <w:rFonts w:hint="eastAsia" w:ascii="仿宋" w:hAnsi="仿宋" w:eastAsia="仿宋" w:cs="仿宋"/>
          <w:color w:val="000000" w:themeColor="text1"/>
          <w:sz w:val="32"/>
          <w:szCs w:val="32"/>
          <w:highlight w:val="none"/>
          <w14:textFill>
            <w14:solidFill>
              <w14:schemeClr w14:val="tx1"/>
            </w14:solidFill>
          </w14:textFill>
        </w:rPr>
        <w:t>%。</w:t>
      </w:r>
    </w:p>
    <w:p w14:paraId="73A9F3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全县境内公路总里程达到1924公里。乡镇通畅率达到100%，建制村（行政村）通畅率达到95.7%，自然村通达率100%，寺庙通达率100%。</w:t>
      </w:r>
    </w:p>
    <w:p w14:paraId="0952FA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FF"/>
          <w:sz w:val="32"/>
          <w:szCs w:val="32"/>
        </w:rPr>
      </w:pPr>
      <w:r>
        <w:rPr>
          <w:rFonts w:hint="eastAsia" w:ascii="仿宋" w:hAnsi="仿宋" w:eastAsia="仿宋" w:cs="仿宋"/>
          <w:color w:val="auto"/>
          <w:sz w:val="32"/>
          <w:szCs w:val="32"/>
        </w:rPr>
        <w:t>全年邮政行业寄递业务量</w:t>
      </w:r>
      <w:r>
        <w:rPr>
          <w:rFonts w:hint="eastAsia" w:ascii="仿宋" w:hAnsi="仿宋" w:eastAsia="仿宋" w:cs="仿宋"/>
          <w:color w:val="auto"/>
          <w:sz w:val="32"/>
          <w:szCs w:val="32"/>
          <w:lang w:val="en-US" w:eastAsia="zh-CN"/>
        </w:rPr>
        <w:t>2.19</w:t>
      </w:r>
      <w:r>
        <w:rPr>
          <w:rFonts w:hint="eastAsia" w:ascii="仿宋" w:hAnsi="仿宋" w:eastAsia="仿宋" w:cs="仿宋"/>
          <w:color w:val="auto"/>
          <w:sz w:val="32"/>
          <w:szCs w:val="32"/>
        </w:rPr>
        <w:t>万件，</w:t>
      </w:r>
      <w:r>
        <w:rPr>
          <w:rFonts w:hint="eastAsia" w:ascii="仿宋" w:hAnsi="仿宋" w:eastAsia="仿宋" w:cs="仿宋"/>
          <w:color w:val="auto"/>
          <w:sz w:val="32"/>
          <w:szCs w:val="32"/>
          <w:lang w:val="en-US" w:eastAsia="zh-CN"/>
        </w:rPr>
        <w:t>同比增长20</w:t>
      </w:r>
      <w:r>
        <w:rPr>
          <w:rFonts w:hint="eastAsia" w:ascii="仿宋" w:hAnsi="仿宋" w:eastAsia="仿宋" w:cs="仿宋"/>
          <w:color w:val="auto"/>
          <w:sz w:val="32"/>
          <w:szCs w:val="32"/>
        </w:rPr>
        <w:t>%，其中快递业务量</w:t>
      </w:r>
      <w:r>
        <w:rPr>
          <w:rFonts w:hint="eastAsia" w:ascii="仿宋" w:hAnsi="仿宋" w:eastAsia="仿宋" w:cs="仿宋"/>
          <w:color w:val="auto"/>
          <w:sz w:val="32"/>
          <w:szCs w:val="32"/>
          <w:lang w:val="en-US" w:eastAsia="zh-CN"/>
        </w:rPr>
        <w:t>54.75</w:t>
      </w:r>
      <w:r>
        <w:rPr>
          <w:rFonts w:hint="eastAsia" w:ascii="仿宋" w:hAnsi="仿宋" w:eastAsia="仿宋" w:cs="仿宋"/>
          <w:color w:val="auto"/>
          <w:sz w:val="32"/>
          <w:szCs w:val="32"/>
        </w:rPr>
        <w:t>万件，</w:t>
      </w:r>
      <w:r>
        <w:rPr>
          <w:rFonts w:hint="eastAsia" w:ascii="仿宋" w:hAnsi="仿宋" w:eastAsia="仿宋" w:cs="仿宋"/>
          <w:color w:val="auto"/>
          <w:sz w:val="32"/>
          <w:szCs w:val="32"/>
          <w:lang w:val="en-US" w:eastAsia="zh-CN"/>
        </w:rPr>
        <w:t>同比增长25</w:t>
      </w:r>
      <w:r>
        <w:rPr>
          <w:rFonts w:hint="eastAsia" w:ascii="仿宋" w:hAnsi="仿宋" w:eastAsia="仿宋" w:cs="仿宋"/>
          <w:color w:val="auto"/>
          <w:sz w:val="32"/>
          <w:szCs w:val="32"/>
        </w:rPr>
        <w:t>%。邮政行业业务收入</w:t>
      </w:r>
      <w:r>
        <w:rPr>
          <w:rFonts w:hint="eastAsia" w:ascii="仿宋" w:hAnsi="仿宋" w:eastAsia="仿宋" w:cs="仿宋"/>
          <w:color w:val="auto"/>
          <w:sz w:val="32"/>
          <w:szCs w:val="32"/>
          <w:lang w:val="en-US" w:eastAsia="zh-CN"/>
        </w:rPr>
        <w:t>180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同比增长5</w:t>
      </w:r>
      <w:r>
        <w:rPr>
          <w:rFonts w:hint="eastAsia" w:ascii="仿宋" w:hAnsi="仿宋" w:eastAsia="仿宋" w:cs="仿宋"/>
          <w:color w:val="auto"/>
          <w:sz w:val="32"/>
          <w:szCs w:val="32"/>
        </w:rPr>
        <w:t>%。</w:t>
      </w:r>
    </w:p>
    <w:p w14:paraId="303EB9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全年</w:t>
      </w:r>
      <w:r>
        <w:rPr>
          <w:rFonts w:hint="eastAsia" w:ascii="仿宋" w:hAnsi="仿宋" w:eastAsia="仿宋" w:cs="仿宋"/>
          <w:color w:val="000000" w:themeColor="text1"/>
          <w:sz w:val="32"/>
          <w:szCs w:val="32"/>
          <w:lang w:val="en-US" w:eastAsia="zh-CN"/>
          <w14:textFill>
            <w14:solidFill>
              <w14:schemeClr w14:val="tx1"/>
            </w14:solidFill>
          </w14:textFill>
        </w:rPr>
        <w:t>通信</w:t>
      </w:r>
      <w:r>
        <w:rPr>
          <w:rFonts w:hint="eastAsia" w:ascii="仿宋" w:hAnsi="仿宋" w:eastAsia="仿宋" w:cs="仿宋"/>
          <w:color w:val="000000" w:themeColor="text1"/>
          <w:sz w:val="32"/>
          <w:szCs w:val="32"/>
          <w14:textFill>
            <w14:solidFill>
              <w14:schemeClr w14:val="tx1"/>
            </w14:solidFill>
          </w14:textFill>
        </w:rPr>
        <w:t>业务总量</w:t>
      </w:r>
      <w:r>
        <w:rPr>
          <w:rFonts w:hint="eastAsia" w:ascii="仿宋" w:hAnsi="仿宋" w:eastAsia="仿宋" w:cs="仿宋"/>
          <w:color w:val="000000" w:themeColor="text1"/>
          <w:sz w:val="32"/>
          <w:szCs w:val="32"/>
          <w:lang w:val="en-US" w:eastAsia="zh-CN"/>
          <w14:textFill>
            <w14:solidFill>
              <w14:schemeClr w14:val="tx1"/>
            </w14:solidFill>
          </w14:textFill>
        </w:rPr>
        <w:t>26197</w:t>
      </w:r>
      <w:r>
        <w:rPr>
          <w:rFonts w:hint="eastAsia" w:ascii="仿宋" w:hAnsi="仿宋" w:eastAsia="仿宋" w:cs="仿宋"/>
          <w:color w:val="000000" w:themeColor="text1"/>
          <w:sz w:val="32"/>
          <w:szCs w:val="32"/>
          <w14:textFill>
            <w14:solidFill>
              <w14:schemeClr w14:val="tx1"/>
            </w14:solidFill>
          </w14:textFill>
        </w:rPr>
        <w:t>万</w:t>
      </w:r>
      <w:r>
        <w:rPr>
          <w:rFonts w:hint="eastAsia" w:ascii="仿宋" w:hAnsi="仿宋" w:eastAsia="仿宋" w:cs="仿宋"/>
          <w:color w:val="000000" w:themeColor="text1"/>
          <w:sz w:val="32"/>
          <w:szCs w:val="32"/>
          <w:lang w:val="en-US" w:eastAsia="zh-CN"/>
          <w14:textFill>
            <w14:solidFill>
              <w14:schemeClr w14:val="tx1"/>
            </w14:solidFill>
          </w14:textFill>
        </w:rPr>
        <w:t>元</w:t>
      </w:r>
      <w:r>
        <w:rPr>
          <w:rFonts w:hint="eastAsia" w:ascii="仿宋" w:hAnsi="仿宋" w:eastAsia="仿宋" w:cs="仿宋"/>
          <w:color w:val="000000" w:themeColor="text1"/>
          <w:sz w:val="32"/>
          <w:szCs w:val="32"/>
          <w14:textFill>
            <w14:solidFill>
              <w14:schemeClr w14:val="tx1"/>
            </w14:solidFill>
          </w14:textFill>
        </w:rPr>
        <w:t xml:space="preserve">（按上年不变价计算），增长 </w:t>
      </w:r>
      <w:r>
        <w:rPr>
          <w:rFonts w:hint="eastAsia" w:ascii="仿宋" w:hAnsi="仿宋" w:eastAsia="仿宋" w:cs="仿宋"/>
          <w:color w:val="000000" w:themeColor="text1"/>
          <w:sz w:val="32"/>
          <w:szCs w:val="32"/>
          <w:lang w:val="en-US" w:eastAsia="zh-CN"/>
          <w14:textFill>
            <w14:solidFill>
              <w14:schemeClr w14:val="tx1"/>
            </w14:solidFill>
          </w14:textFill>
        </w:rPr>
        <w:t>1.51</w:t>
      </w:r>
      <w:r>
        <w:rPr>
          <w:rFonts w:hint="eastAsia" w:ascii="仿宋" w:hAnsi="仿宋" w:eastAsia="仿宋" w:cs="仿宋"/>
          <w:color w:val="000000" w:themeColor="text1"/>
          <w:sz w:val="32"/>
          <w:szCs w:val="32"/>
          <w14:textFill>
            <w14:solidFill>
              <w14:schemeClr w14:val="tx1"/>
            </w14:solidFill>
          </w14:textFill>
        </w:rPr>
        <w:t>%。</w:t>
      </w:r>
    </w:p>
    <w:p w14:paraId="2F129BE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年末电话用户总数</w:t>
      </w:r>
      <w:r>
        <w:rPr>
          <w:rFonts w:hint="eastAsia" w:ascii="仿宋" w:hAnsi="仿宋" w:eastAsia="仿宋" w:cs="仿宋"/>
          <w:color w:val="000000" w:themeColor="text1"/>
          <w:sz w:val="32"/>
          <w:szCs w:val="32"/>
          <w:lang w:val="en-US" w:eastAsia="zh-CN"/>
          <w14:textFill>
            <w14:solidFill>
              <w14:schemeClr w14:val="tx1"/>
            </w14:solidFill>
          </w14:textFill>
        </w:rPr>
        <w:t>41580</w:t>
      </w:r>
      <w:r>
        <w:rPr>
          <w:rFonts w:hint="eastAsia" w:ascii="仿宋" w:hAnsi="仿宋" w:eastAsia="仿宋" w:cs="仿宋"/>
          <w:color w:val="000000" w:themeColor="text1"/>
          <w:sz w:val="32"/>
          <w:szCs w:val="32"/>
          <w14:textFill>
            <w14:solidFill>
              <w14:schemeClr w14:val="tx1"/>
            </w14:solidFill>
          </w14:textFill>
        </w:rPr>
        <w:t>户。其中，固定电话用户</w:t>
      </w:r>
      <w:r>
        <w:rPr>
          <w:rFonts w:hint="eastAsia" w:ascii="仿宋" w:hAnsi="仿宋" w:eastAsia="仿宋" w:cs="仿宋"/>
          <w:color w:val="000000" w:themeColor="text1"/>
          <w:sz w:val="32"/>
          <w:szCs w:val="32"/>
          <w:lang w:val="en-US" w:eastAsia="zh-CN"/>
          <w14:textFill>
            <w14:solidFill>
              <w14:schemeClr w14:val="tx1"/>
            </w14:solidFill>
          </w14:textFill>
        </w:rPr>
        <w:t>8532</w:t>
      </w:r>
      <w:r>
        <w:rPr>
          <w:rFonts w:hint="eastAsia" w:ascii="仿宋" w:hAnsi="仿宋" w:eastAsia="仿宋" w:cs="仿宋"/>
          <w:color w:val="000000" w:themeColor="text1"/>
          <w:sz w:val="32"/>
          <w:szCs w:val="32"/>
          <w14:textFill>
            <w14:solidFill>
              <w14:schemeClr w14:val="tx1"/>
            </w14:solidFill>
          </w14:textFill>
        </w:rPr>
        <w:t>户，</w:t>
      </w:r>
      <w:r>
        <w:rPr>
          <w:rFonts w:hint="eastAsia" w:ascii="仿宋" w:hAnsi="仿宋" w:eastAsia="仿宋" w:cs="仿宋"/>
          <w:color w:val="000000" w:themeColor="text1"/>
          <w:sz w:val="32"/>
          <w:szCs w:val="32"/>
          <w:lang w:val="en-US" w:eastAsia="zh-CN"/>
          <w14:textFill>
            <w14:solidFill>
              <w14:schemeClr w14:val="tx1"/>
            </w14:solidFill>
          </w14:textFill>
        </w:rPr>
        <w:t>同比去年增加1534户；</w:t>
      </w:r>
      <w:r>
        <w:rPr>
          <w:rFonts w:hint="eastAsia" w:ascii="仿宋" w:hAnsi="仿宋" w:eastAsia="仿宋" w:cs="仿宋"/>
          <w:color w:val="000000" w:themeColor="text1"/>
          <w:sz w:val="32"/>
          <w:szCs w:val="32"/>
          <w14:textFill>
            <w14:solidFill>
              <w14:schemeClr w14:val="tx1"/>
            </w14:solidFill>
          </w14:textFill>
        </w:rPr>
        <w:t>移动电话用</w:t>
      </w:r>
      <w:r>
        <w:rPr>
          <w:rFonts w:hint="eastAsia" w:ascii="仿宋" w:hAnsi="仿宋" w:eastAsia="仿宋" w:cs="仿宋"/>
          <w:color w:val="000000" w:themeColor="text1"/>
          <w:sz w:val="32"/>
          <w:szCs w:val="32"/>
          <w:lang w:val="en-US" w:eastAsia="zh-CN"/>
          <w14:textFill>
            <w14:solidFill>
              <w14:schemeClr w14:val="tx1"/>
            </w14:solidFill>
          </w14:textFill>
        </w:rPr>
        <w:t>户33248</w:t>
      </w:r>
      <w:r>
        <w:rPr>
          <w:rFonts w:hint="eastAsia" w:ascii="仿宋" w:hAnsi="仿宋" w:eastAsia="仿宋" w:cs="仿宋"/>
          <w:color w:val="000000" w:themeColor="text1"/>
          <w:sz w:val="32"/>
          <w:szCs w:val="32"/>
          <w14:textFill>
            <w14:solidFill>
              <w14:schemeClr w14:val="tx1"/>
            </w14:solidFill>
          </w14:textFill>
        </w:rPr>
        <w:t>户。移动电话用户本年新增</w:t>
      </w:r>
      <w:r>
        <w:rPr>
          <w:rFonts w:hint="eastAsia" w:ascii="仿宋" w:hAnsi="仿宋" w:eastAsia="仿宋" w:cs="仿宋"/>
          <w:color w:val="000000" w:themeColor="text1"/>
          <w:sz w:val="32"/>
          <w:szCs w:val="32"/>
          <w:lang w:val="en-US" w:eastAsia="zh-CN"/>
          <w14:textFill>
            <w14:solidFill>
              <w14:schemeClr w14:val="tx1"/>
            </w14:solidFill>
          </w14:textFill>
        </w:rPr>
        <w:t>4257</w:t>
      </w:r>
      <w:r>
        <w:rPr>
          <w:rFonts w:hint="eastAsia" w:ascii="仿宋" w:hAnsi="仿宋" w:eastAsia="仿宋" w:cs="仿宋"/>
          <w:color w:val="000000" w:themeColor="text1"/>
          <w:sz w:val="32"/>
          <w:szCs w:val="32"/>
          <w14:textFill>
            <w14:solidFill>
              <w14:schemeClr w14:val="tx1"/>
            </w14:solidFill>
          </w14:textFill>
        </w:rPr>
        <w:t>户，移动电话</w:t>
      </w:r>
      <w:r>
        <w:rPr>
          <w:rFonts w:hint="eastAsia" w:ascii="仿宋" w:hAnsi="仿宋" w:eastAsia="仿宋" w:cs="仿宋"/>
          <w:color w:val="000000" w:themeColor="text1"/>
          <w:sz w:val="32"/>
          <w:szCs w:val="32"/>
          <w:lang w:val="en-US" w:eastAsia="zh-CN"/>
          <w14:textFill>
            <w14:solidFill>
              <w14:schemeClr w14:val="tx1"/>
            </w14:solidFill>
          </w14:textFill>
        </w:rPr>
        <w:t>使用率为92%</w:t>
      </w:r>
      <w:r>
        <w:rPr>
          <w:rFonts w:hint="eastAsia" w:ascii="仿宋" w:hAnsi="仿宋" w:eastAsia="仿宋" w:cs="仿宋"/>
          <w:color w:val="000000" w:themeColor="text1"/>
          <w:sz w:val="32"/>
          <w:szCs w:val="32"/>
          <w14:textFill>
            <w14:solidFill>
              <w14:schemeClr w14:val="tx1"/>
            </w14:solidFill>
          </w14:textFill>
        </w:rPr>
        <w:t>。移动互联网用户</w:t>
      </w:r>
      <w:r>
        <w:rPr>
          <w:rFonts w:hint="eastAsia" w:ascii="仿宋" w:hAnsi="仿宋" w:eastAsia="仿宋" w:cs="仿宋"/>
          <w:color w:val="000000" w:themeColor="text1"/>
          <w:sz w:val="32"/>
          <w:szCs w:val="32"/>
          <w:lang w:val="en-US" w:eastAsia="zh-CN"/>
          <w14:textFill>
            <w14:solidFill>
              <w14:schemeClr w14:val="tx1"/>
            </w14:solidFill>
          </w14:textFill>
        </w:rPr>
        <w:t>24747</w:t>
      </w:r>
      <w:r>
        <w:rPr>
          <w:rFonts w:hint="eastAsia" w:ascii="仿宋" w:hAnsi="仿宋" w:eastAsia="仿宋" w:cs="仿宋"/>
          <w:color w:val="000000" w:themeColor="text1"/>
          <w:sz w:val="32"/>
          <w:szCs w:val="32"/>
          <w14:textFill>
            <w14:solidFill>
              <w14:schemeClr w14:val="tx1"/>
            </w14:solidFill>
          </w14:textFill>
        </w:rPr>
        <w:t>户，比上年增加</w:t>
      </w:r>
      <w:r>
        <w:rPr>
          <w:rFonts w:hint="eastAsia" w:ascii="仿宋" w:hAnsi="仿宋" w:eastAsia="仿宋" w:cs="仿宋"/>
          <w:color w:val="000000" w:themeColor="text1"/>
          <w:sz w:val="32"/>
          <w:szCs w:val="32"/>
          <w:lang w:val="en-US" w:eastAsia="zh-CN"/>
          <w14:textFill>
            <w14:solidFill>
              <w14:schemeClr w14:val="tx1"/>
            </w14:solidFill>
          </w14:textFill>
        </w:rPr>
        <w:t>2489</w:t>
      </w:r>
      <w:r>
        <w:rPr>
          <w:rFonts w:hint="eastAsia" w:ascii="仿宋" w:hAnsi="仿宋" w:eastAsia="仿宋" w:cs="仿宋"/>
          <w:color w:val="000000" w:themeColor="text1"/>
          <w:sz w:val="32"/>
          <w:szCs w:val="32"/>
          <w14:textFill>
            <w14:solidFill>
              <w14:schemeClr w14:val="tx1"/>
            </w14:solidFill>
          </w14:textFill>
        </w:rPr>
        <w:t>户；固定互联网光纤宽带</w:t>
      </w:r>
      <w:r>
        <w:rPr>
          <w:rFonts w:hint="eastAsia" w:ascii="仿宋" w:hAnsi="仿宋" w:eastAsia="仿宋" w:cs="仿宋"/>
          <w:color w:val="000000" w:themeColor="text1"/>
          <w:sz w:val="32"/>
          <w:szCs w:val="32"/>
          <w:lang w:val="en-US" w:eastAsia="zh-CN"/>
          <w14:textFill>
            <w14:solidFill>
              <w14:schemeClr w14:val="tx1"/>
            </w14:solidFill>
          </w14:textFill>
        </w:rPr>
        <w:t>16411</w:t>
      </w:r>
      <w:r>
        <w:rPr>
          <w:rFonts w:hint="eastAsia" w:ascii="仿宋" w:hAnsi="仿宋" w:eastAsia="仿宋" w:cs="仿宋"/>
          <w:color w:val="000000" w:themeColor="text1"/>
          <w:sz w:val="32"/>
          <w:szCs w:val="32"/>
          <w14:textFill>
            <w14:solidFill>
              <w14:schemeClr w14:val="tx1"/>
            </w14:solidFill>
          </w14:textFill>
        </w:rPr>
        <w:t>户，增加</w:t>
      </w:r>
      <w:r>
        <w:rPr>
          <w:rFonts w:hint="eastAsia" w:ascii="仿宋" w:hAnsi="仿宋" w:eastAsia="仿宋" w:cs="仿宋"/>
          <w:color w:val="000000" w:themeColor="text1"/>
          <w:sz w:val="32"/>
          <w:szCs w:val="32"/>
          <w:lang w:val="en-US" w:eastAsia="zh-CN"/>
          <w14:textFill>
            <w14:solidFill>
              <w14:schemeClr w14:val="tx1"/>
            </w14:solidFill>
          </w14:textFill>
        </w:rPr>
        <w:t>1875</w:t>
      </w:r>
      <w:r>
        <w:rPr>
          <w:rFonts w:hint="eastAsia" w:ascii="仿宋" w:hAnsi="仿宋" w:eastAsia="仿宋" w:cs="仿宋"/>
          <w:color w:val="000000" w:themeColor="text1"/>
          <w:sz w:val="32"/>
          <w:szCs w:val="32"/>
          <w14:textFill>
            <w14:solidFill>
              <w14:schemeClr w14:val="tx1"/>
            </w14:solidFill>
          </w14:textFill>
        </w:rPr>
        <w:t>户。农村地区宽带接入用户</w:t>
      </w:r>
      <w:r>
        <w:rPr>
          <w:rFonts w:hint="eastAsia" w:ascii="仿宋" w:hAnsi="仿宋" w:eastAsia="仿宋" w:cs="仿宋"/>
          <w:color w:val="000000" w:themeColor="text1"/>
          <w:sz w:val="32"/>
          <w:szCs w:val="32"/>
          <w:lang w:val="en-US" w:eastAsia="zh-CN"/>
          <w14:textFill>
            <w14:solidFill>
              <w14:schemeClr w14:val="tx1"/>
            </w14:solidFill>
          </w14:textFill>
        </w:rPr>
        <w:t>8287</w:t>
      </w:r>
      <w:r>
        <w:rPr>
          <w:rFonts w:hint="eastAsia" w:ascii="仿宋" w:hAnsi="仿宋" w:eastAsia="仿宋" w:cs="仿宋"/>
          <w:color w:val="000000" w:themeColor="text1"/>
          <w:sz w:val="32"/>
          <w:szCs w:val="32"/>
          <w14:textFill>
            <w14:solidFill>
              <w14:schemeClr w14:val="tx1"/>
            </w14:solidFill>
          </w14:textFill>
        </w:rPr>
        <w:t>户，比上年末增加</w:t>
      </w:r>
      <w:r>
        <w:rPr>
          <w:rFonts w:hint="eastAsia" w:ascii="仿宋" w:hAnsi="仿宋" w:eastAsia="仿宋" w:cs="仿宋"/>
          <w:color w:val="000000" w:themeColor="text1"/>
          <w:sz w:val="32"/>
          <w:szCs w:val="32"/>
          <w:lang w:val="en-US" w:eastAsia="zh-CN"/>
          <w14:textFill>
            <w14:solidFill>
              <w14:schemeClr w14:val="tx1"/>
            </w14:solidFill>
          </w14:textFill>
        </w:rPr>
        <w:t>1050</w:t>
      </w:r>
      <w:r>
        <w:rPr>
          <w:rFonts w:hint="eastAsia" w:ascii="仿宋" w:hAnsi="仿宋" w:eastAsia="仿宋" w:cs="仿宋"/>
          <w:color w:val="000000" w:themeColor="text1"/>
          <w:sz w:val="32"/>
          <w:szCs w:val="32"/>
          <w14:textFill>
            <w14:solidFill>
              <w14:schemeClr w14:val="tx1"/>
            </w14:solidFill>
          </w14:textFill>
        </w:rPr>
        <w:t>户。全县行政村5G信号通达率</w:t>
      </w:r>
      <w:r>
        <w:rPr>
          <w:rFonts w:hint="eastAsia" w:ascii="仿宋" w:hAnsi="仿宋" w:eastAsia="仿宋" w:cs="仿宋"/>
          <w:color w:val="000000" w:themeColor="text1"/>
          <w:sz w:val="32"/>
          <w:szCs w:val="32"/>
          <w:lang w:val="en-US" w:eastAsia="zh-CN"/>
          <w14:textFill>
            <w14:solidFill>
              <w14:schemeClr w14:val="tx1"/>
            </w14:solidFill>
          </w14:textFill>
        </w:rPr>
        <w:t>99</w:t>
      </w:r>
      <w:r>
        <w:rPr>
          <w:rFonts w:hint="eastAsia" w:ascii="仿宋" w:hAnsi="仿宋" w:eastAsia="仿宋" w:cs="仿宋"/>
          <w:color w:val="000000" w:themeColor="text1"/>
          <w:sz w:val="32"/>
          <w:szCs w:val="32"/>
          <w14:textFill>
            <w14:solidFill>
              <w14:schemeClr w14:val="tx1"/>
            </w14:solidFill>
          </w14:textFill>
        </w:rPr>
        <w:t>%。累计建成5G基站</w:t>
      </w:r>
      <w:r>
        <w:rPr>
          <w:rFonts w:hint="eastAsia" w:ascii="仿宋" w:hAnsi="仿宋" w:eastAsia="仿宋" w:cs="仿宋"/>
          <w:color w:val="000000" w:themeColor="text1"/>
          <w:sz w:val="32"/>
          <w:szCs w:val="32"/>
          <w:lang w:val="en-US" w:eastAsia="zh-CN"/>
          <w14:textFill>
            <w14:solidFill>
              <w14:schemeClr w14:val="tx1"/>
            </w14:solidFill>
          </w14:textFill>
        </w:rPr>
        <w:t>265</w:t>
      </w:r>
      <w:r>
        <w:rPr>
          <w:rFonts w:hint="eastAsia" w:ascii="仿宋" w:hAnsi="仿宋" w:eastAsia="仿宋" w:cs="仿宋"/>
          <w:color w:val="000000" w:themeColor="text1"/>
          <w:sz w:val="32"/>
          <w:szCs w:val="32"/>
          <w14:textFill>
            <w14:solidFill>
              <w14:schemeClr w14:val="tx1"/>
            </w14:solidFill>
          </w14:textFill>
        </w:rPr>
        <w:t>个。</w:t>
      </w:r>
      <w:r>
        <w:rPr>
          <w:rFonts w:hint="eastAsia" w:ascii="仿宋" w:hAnsi="仿宋" w:eastAsia="仿宋" w:cs="仿宋"/>
          <w:color w:val="000000" w:themeColor="text1"/>
          <w:sz w:val="32"/>
          <w:szCs w:val="32"/>
          <w:lang w:val="en-US" w:eastAsia="zh-CN"/>
          <w14:textFill>
            <w14:solidFill>
              <w14:schemeClr w14:val="tx1"/>
            </w14:solidFill>
          </w14:textFill>
        </w:rPr>
        <w:drawing>
          <wp:inline distT="0" distB="0" distL="114300" distR="114300">
            <wp:extent cx="304800" cy="304800"/>
            <wp:effectExtent l="0" t="0" r="0" b="0"/>
            <wp:docPr id="17"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descr="IMG_267"/>
                    <pic:cNvPicPr>
                      <a:picLocks noChangeAspect="1"/>
                    </pic:cNvPicPr>
                  </pic:nvPicPr>
                  <pic:blipFill>
                    <a:blip r:embed="rId11"/>
                    <a:stretch>
                      <a:fillRect/>
                    </a:stretch>
                  </pic:blipFill>
                  <pic:spPr>
                    <a:xfrm>
                      <a:off x="0" y="0"/>
                      <a:ext cx="304800" cy="304800"/>
                    </a:xfrm>
                    <a:prstGeom prst="rect">
                      <a:avLst/>
                    </a:prstGeom>
                    <a:noFill/>
                    <a:ln w="9525">
                      <a:noFill/>
                    </a:ln>
                  </pic:spPr>
                </pic:pic>
              </a:graphicData>
            </a:graphic>
          </wp:inline>
        </w:drawing>
      </w:r>
    </w:p>
    <w:p w14:paraId="795269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color w:val="auto"/>
          <w:sz w:val="32"/>
          <w:szCs w:val="32"/>
          <w:lang w:val="en-US" w:eastAsia="zh-CN"/>
        </w:rPr>
        <w:t>接待旅游住宿人员共计124789人，</w:t>
      </w:r>
      <w:r>
        <w:rPr>
          <w:rFonts w:hint="eastAsia" w:ascii="仿宋" w:hAnsi="仿宋" w:eastAsia="仿宋" w:cs="仿宋"/>
          <w:sz w:val="32"/>
          <w:szCs w:val="32"/>
          <w:lang w:val="en-US" w:eastAsia="zh-CN"/>
        </w:rPr>
        <w:t>同比增长38%；实现旅游收入超亿元，同比增长516%。</w:t>
      </w:r>
    </w:p>
    <w:p w14:paraId="231AFB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highlight w:val="none"/>
          <w:lang w:val="en-US" w:eastAsia="zh-CN"/>
        </w:rPr>
      </w:pPr>
      <w:r>
        <w:rPr>
          <w:rFonts w:hint="eastAsia" w:ascii="黑体" w:hAnsi="黑体" w:eastAsia="黑体" w:cs="黑体"/>
          <w:sz w:val="32"/>
          <w:szCs w:val="32"/>
          <w:lang w:val="en-US" w:eastAsia="zh-CN"/>
        </w:rPr>
        <w:t>八</w:t>
      </w:r>
      <w:r>
        <w:rPr>
          <w:rFonts w:hint="eastAsia" w:ascii="黑体" w:hAnsi="黑体" w:eastAsia="黑体" w:cs="黑体"/>
          <w:sz w:val="32"/>
          <w:szCs w:val="32"/>
        </w:rPr>
        <w:t>、财政、金融和保险</w:t>
      </w:r>
    </w:p>
    <w:p w14:paraId="6B042C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b w:val="0"/>
          <w:bCs w:val="0"/>
          <w:sz w:val="32"/>
          <w:szCs w:val="32"/>
          <w:highlight w:val="none"/>
          <w:lang w:val="en-US" w:eastAsia="zh-CN"/>
        </w:rPr>
        <w:t>全年</w:t>
      </w:r>
      <w:r>
        <w:rPr>
          <w:rFonts w:hint="eastAsia" w:ascii="仿宋" w:hAnsi="仿宋" w:eastAsia="仿宋" w:cs="仿宋"/>
          <w:b w:val="0"/>
          <w:bCs w:val="0"/>
          <w:sz w:val="32"/>
          <w:szCs w:val="32"/>
          <w:highlight w:val="none"/>
        </w:rPr>
        <w:t>地方财政一般预算收入完成</w:t>
      </w:r>
      <w:r>
        <w:rPr>
          <w:rFonts w:hint="eastAsia" w:ascii="仿宋" w:hAnsi="仿宋" w:eastAsia="仿宋" w:cs="仿宋"/>
          <w:b w:val="0"/>
          <w:bCs w:val="0"/>
          <w:sz w:val="32"/>
          <w:szCs w:val="32"/>
          <w:highlight w:val="none"/>
          <w:lang w:val="en-US" w:eastAsia="zh-CN"/>
        </w:rPr>
        <w:t>6370</w:t>
      </w:r>
      <w:r>
        <w:rPr>
          <w:rFonts w:hint="eastAsia" w:ascii="仿宋" w:hAnsi="仿宋" w:eastAsia="仿宋" w:cs="仿宋"/>
          <w:b w:val="0"/>
          <w:bCs w:val="0"/>
          <w:sz w:val="32"/>
          <w:szCs w:val="32"/>
          <w:highlight w:val="none"/>
        </w:rPr>
        <w:t>万元，</w:t>
      </w:r>
      <w:r>
        <w:rPr>
          <w:rFonts w:hint="eastAsia" w:ascii="仿宋" w:hAnsi="仿宋" w:eastAsia="仿宋" w:cs="仿宋"/>
          <w:color w:val="auto"/>
          <w:sz w:val="32"/>
          <w:szCs w:val="32"/>
          <w:lang w:val="en-US" w:eastAsia="zh-CN"/>
        </w:rPr>
        <w:t>同比下降17.6%</w:t>
      </w:r>
      <w:r>
        <w:rPr>
          <w:rFonts w:hint="eastAsia" w:ascii="仿宋" w:hAnsi="仿宋" w:eastAsia="仿宋" w:cs="仿宋"/>
          <w:b w:val="0"/>
          <w:bCs w:val="0"/>
          <w:color w:val="auto"/>
          <w:sz w:val="32"/>
          <w:szCs w:val="32"/>
          <w:highlight w:val="none"/>
        </w:rPr>
        <w:t>。</w:t>
      </w:r>
      <w:r>
        <w:rPr>
          <w:rFonts w:hint="eastAsia" w:ascii="仿宋" w:hAnsi="仿宋" w:eastAsia="仿宋" w:cs="仿宋"/>
          <w:b w:val="0"/>
          <w:bCs w:val="0"/>
          <w:sz w:val="32"/>
          <w:szCs w:val="32"/>
          <w:highlight w:val="none"/>
        </w:rPr>
        <w:t>全县一般公共预算支出</w:t>
      </w:r>
      <w:r>
        <w:rPr>
          <w:rFonts w:hint="eastAsia" w:ascii="仿宋" w:hAnsi="仿宋" w:eastAsia="仿宋" w:cs="仿宋"/>
          <w:sz w:val="32"/>
          <w:szCs w:val="32"/>
          <w:lang w:val="en-US" w:eastAsia="zh-CN"/>
        </w:rPr>
        <w:t>221895</w:t>
      </w:r>
      <w:r>
        <w:rPr>
          <w:rFonts w:hint="eastAsia" w:ascii="仿宋" w:hAnsi="仿宋" w:eastAsia="仿宋" w:cs="仿宋"/>
          <w:b w:val="0"/>
          <w:bCs w:val="0"/>
          <w:sz w:val="32"/>
          <w:szCs w:val="32"/>
          <w:highlight w:val="none"/>
        </w:rPr>
        <w:t>万元</w:t>
      </w:r>
      <w:r>
        <w:rPr>
          <w:rFonts w:hint="eastAsia" w:ascii="仿宋" w:hAnsi="仿宋" w:eastAsia="仿宋" w:cs="仿宋"/>
          <w:b w:val="0"/>
          <w:bCs w:val="0"/>
          <w:sz w:val="32"/>
          <w:szCs w:val="32"/>
          <w:highlight w:val="none"/>
          <w:lang w:eastAsia="zh-CN"/>
        </w:rPr>
        <w:t>，</w:t>
      </w:r>
      <w:r>
        <w:rPr>
          <w:rFonts w:hint="eastAsia" w:ascii="仿宋" w:hAnsi="仿宋" w:eastAsia="仿宋" w:cs="仿宋"/>
          <w:sz w:val="32"/>
          <w:szCs w:val="32"/>
          <w:lang w:val="en-US" w:eastAsia="zh-CN"/>
        </w:rPr>
        <w:t>同比增长5.8%</w:t>
      </w:r>
      <w:r>
        <w:rPr>
          <w:rFonts w:hint="eastAsia" w:ascii="仿宋" w:hAnsi="仿宋" w:eastAsia="仿宋" w:cs="仿宋"/>
          <w:b w:val="0"/>
          <w:bCs w:val="0"/>
          <w:sz w:val="32"/>
          <w:szCs w:val="32"/>
          <w:highlight w:val="none"/>
          <w:lang w:val="en-US" w:eastAsia="zh-CN"/>
        </w:rPr>
        <w:t>。</w:t>
      </w:r>
    </w:p>
    <w:p w14:paraId="285B09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rPr>
      </w:pPr>
    </w:p>
    <w:p w14:paraId="35392D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lang w:eastAsia="zh-CN"/>
        </w:rPr>
      </w:pPr>
    </w:p>
    <w:p w14:paraId="1C17E8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rPr>
      </w:pPr>
    </w:p>
    <w:p w14:paraId="371022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drawing>
          <wp:anchor distT="0" distB="0" distL="114300" distR="114300" simplePos="0" relativeHeight="251668480" behindDoc="0" locked="0" layoutInCell="1" allowOverlap="1">
            <wp:simplePos x="0" y="0"/>
            <wp:positionH relativeFrom="column">
              <wp:posOffset>12700</wp:posOffset>
            </wp:positionH>
            <wp:positionV relativeFrom="paragraph">
              <wp:posOffset>31115</wp:posOffset>
            </wp:positionV>
            <wp:extent cx="5266055" cy="2577465"/>
            <wp:effectExtent l="0" t="0" r="10795" b="13335"/>
            <wp:wrapNone/>
            <wp:docPr id="2" name="图片 2" descr="50675247f7f77fa23499f434eb3b30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0675247f7f77fa23499f434eb3b300c"/>
                    <pic:cNvPicPr>
                      <a:picLocks noChangeAspect="1"/>
                    </pic:cNvPicPr>
                  </pic:nvPicPr>
                  <pic:blipFill>
                    <a:blip r:embed="rId12"/>
                    <a:stretch>
                      <a:fillRect/>
                    </a:stretch>
                  </pic:blipFill>
                  <pic:spPr>
                    <a:xfrm>
                      <a:off x="0" y="0"/>
                      <a:ext cx="5266055" cy="2577465"/>
                    </a:xfrm>
                    <a:prstGeom prst="rect">
                      <a:avLst/>
                    </a:prstGeom>
                  </pic:spPr>
                </pic:pic>
              </a:graphicData>
            </a:graphic>
          </wp:anchor>
        </w:drawing>
      </w:r>
    </w:p>
    <w:p w14:paraId="66046487">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sz w:val="24"/>
          <w:szCs w:val="24"/>
          <w:highlight w:val="none"/>
          <w:lang w:val="en-US" w:eastAsia="zh-CN"/>
        </w:rPr>
      </w:pPr>
    </w:p>
    <w:p w14:paraId="530AA81C">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sz w:val="24"/>
          <w:szCs w:val="24"/>
          <w:highlight w:val="none"/>
          <w:lang w:val="en-US" w:eastAsia="zh-CN"/>
        </w:rPr>
      </w:pPr>
    </w:p>
    <w:p w14:paraId="322A7510">
      <w:pPr>
        <w:keepNext w:val="0"/>
        <w:keepLines w:val="0"/>
        <w:pageBreakBefore w:val="0"/>
        <w:widowControl w:val="0"/>
        <w:kinsoku/>
        <w:wordWrap/>
        <w:overflowPunct/>
        <w:topLinePunct w:val="0"/>
        <w:autoSpaceDE/>
        <w:autoSpaceDN/>
        <w:bidi w:val="0"/>
        <w:adjustRightInd/>
        <w:snapToGrid/>
        <w:spacing w:line="560" w:lineRule="exact"/>
        <w:ind w:firstLine="1680" w:firstLineChars="700"/>
        <w:jc w:val="both"/>
        <w:textAlignment w:val="auto"/>
        <w:rPr>
          <w:rFonts w:hint="eastAsia" w:ascii="宋体" w:hAnsi="宋体" w:eastAsia="宋体" w:cs="宋体"/>
          <w:sz w:val="24"/>
          <w:szCs w:val="24"/>
          <w:highlight w:val="none"/>
          <w:lang w:val="en-US" w:eastAsia="zh-CN"/>
        </w:rPr>
      </w:pPr>
    </w:p>
    <w:p w14:paraId="1117811E">
      <w:pPr>
        <w:keepNext w:val="0"/>
        <w:keepLines w:val="0"/>
        <w:pageBreakBefore w:val="0"/>
        <w:widowControl w:val="0"/>
        <w:kinsoku/>
        <w:wordWrap/>
        <w:overflowPunct/>
        <w:topLinePunct w:val="0"/>
        <w:autoSpaceDE/>
        <w:autoSpaceDN/>
        <w:bidi w:val="0"/>
        <w:adjustRightInd/>
        <w:snapToGrid/>
        <w:spacing w:line="560" w:lineRule="exact"/>
        <w:ind w:firstLine="1680" w:firstLineChars="700"/>
        <w:jc w:val="both"/>
        <w:textAlignment w:val="auto"/>
        <w:rPr>
          <w:rFonts w:hint="eastAsia" w:ascii="宋体" w:hAnsi="宋体" w:eastAsia="宋体" w:cs="宋体"/>
          <w:sz w:val="24"/>
          <w:szCs w:val="24"/>
          <w:highlight w:val="none"/>
          <w:lang w:val="en-US" w:eastAsia="zh-CN"/>
        </w:rPr>
      </w:pPr>
    </w:p>
    <w:p w14:paraId="58D68101">
      <w:pPr>
        <w:keepNext w:val="0"/>
        <w:keepLines w:val="0"/>
        <w:pageBreakBefore w:val="0"/>
        <w:widowControl w:val="0"/>
        <w:kinsoku/>
        <w:wordWrap/>
        <w:overflowPunct/>
        <w:topLinePunct w:val="0"/>
        <w:autoSpaceDE/>
        <w:autoSpaceDN/>
        <w:bidi w:val="0"/>
        <w:adjustRightInd/>
        <w:snapToGrid/>
        <w:spacing w:line="560" w:lineRule="exact"/>
        <w:ind w:firstLine="1680" w:firstLineChars="700"/>
        <w:jc w:val="both"/>
        <w:textAlignment w:val="auto"/>
        <w:rPr>
          <w:rFonts w:hint="eastAsia" w:ascii="宋体" w:hAnsi="宋体" w:eastAsia="宋体" w:cs="宋体"/>
          <w:sz w:val="24"/>
          <w:szCs w:val="24"/>
          <w:highlight w:val="none"/>
          <w:lang w:val="en-US" w:eastAsia="zh-CN"/>
        </w:rPr>
      </w:pPr>
    </w:p>
    <w:p w14:paraId="1AC20F05">
      <w:pPr>
        <w:keepNext w:val="0"/>
        <w:keepLines w:val="0"/>
        <w:pageBreakBefore w:val="0"/>
        <w:widowControl w:val="0"/>
        <w:kinsoku/>
        <w:wordWrap/>
        <w:overflowPunct/>
        <w:topLinePunct w:val="0"/>
        <w:autoSpaceDE/>
        <w:autoSpaceDN/>
        <w:bidi w:val="0"/>
        <w:adjustRightInd/>
        <w:snapToGrid/>
        <w:spacing w:line="560" w:lineRule="exact"/>
        <w:ind w:firstLine="1680" w:firstLineChars="700"/>
        <w:jc w:val="both"/>
        <w:textAlignment w:val="auto"/>
        <w:rPr>
          <w:rFonts w:hint="eastAsia" w:ascii="宋体" w:hAnsi="宋体" w:eastAsia="宋体" w:cs="宋体"/>
          <w:sz w:val="24"/>
          <w:szCs w:val="24"/>
          <w:highlight w:val="none"/>
          <w:lang w:val="en-US" w:eastAsia="zh-CN"/>
        </w:rPr>
      </w:pPr>
    </w:p>
    <w:p w14:paraId="6D454B35">
      <w:pPr>
        <w:keepNext w:val="0"/>
        <w:keepLines w:val="0"/>
        <w:pageBreakBefore w:val="0"/>
        <w:widowControl w:val="0"/>
        <w:kinsoku/>
        <w:wordWrap/>
        <w:overflowPunct/>
        <w:topLinePunct w:val="0"/>
        <w:autoSpaceDE/>
        <w:autoSpaceDN/>
        <w:bidi w:val="0"/>
        <w:adjustRightInd/>
        <w:snapToGrid/>
        <w:spacing w:line="560" w:lineRule="exact"/>
        <w:ind w:firstLine="1680" w:firstLineChars="7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图7 2021-2025年一般公共预算收入</w:t>
      </w:r>
    </w:p>
    <w:p w14:paraId="6A99FC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年末</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金融机构各项存款余额</w:t>
      </w:r>
      <w:r>
        <w:rPr>
          <w:rFonts w:hint="eastAsia" w:ascii="仿宋" w:hAnsi="仿宋" w:eastAsia="仿宋" w:cs="仿宋"/>
          <w:sz w:val="32"/>
          <w:szCs w:val="32"/>
          <w:highlight w:val="none"/>
          <w:lang w:val="en-US" w:eastAsia="zh-CN"/>
        </w:rPr>
        <w:t>119500</w:t>
      </w:r>
      <w:r>
        <w:rPr>
          <w:rFonts w:hint="eastAsia" w:ascii="仿宋" w:hAnsi="仿宋" w:eastAsia="仿宋" w:cs="仿宋"/>
          <w:sz w:val="32"/>
          <w:szCs w:val="32"/>
          <w:highlight w:val="none"/>
        </w:rPr>
        <w:t>万元，比上年末增加</w:t>
      </w:r>
      <w:r>
        <w:rPr>
          <w:rFonts w:hint="eastAsia" w:ascii="仿宋" w:hAnsi="仿宋" w:eastAsia="仿宋" w:cs="仿宋"/>
          <w:sz w:val="32"/>
          <w:szCs w:val="32"/>
          <w:highlight w:val="none"/>
          <w:lang w:val="en-US" w:eastAsia="zh-CN"/>
        </w:rPr>
        <w:t>24725</w:t>
      </w:r>
      <w:r>
        <w:rPr>
          <w:rFonts w:hint="eastAsia" w:ascii="仿宋" w:hAnsi="仿宋" w:eastAsia="仿宋" w:cs="仿宋"/>
          <w:sz w:val="32"/>
          <w:szCs w:val="32"/>
          <w:highlight w:val="none"/>
        </w:rPr>
        <w:t>万元；金融机构各项贷款余额</w:t>
      </w:r>
      <w:r>
        <w:rPr>
          <w:rFonts w:hint="eastAsia" w:ascii="仿宋" w:hAnsi="仿宋" w:eastAsia="仿宋" w:cs="仿宋"/>
          <w:sz w:val="32"/>
          <w:szCs w:val="32"/>
          <w:highlight w:val="none"/>
          <w:lang w:val="en-US" w:eastAsia="zh-CN"/>
        </w:rPr>
        <w:t>85100</w:t>
      </w:r>
      <w:r>
        <w:rPr>
          <w:rFonts w:hint="eastAsia" w:ascii="仿宋" w:hAnsi="仿宋" w:eastAsia="仿宋" w:cs="仿宋"/>
          <w:sz w:val="32"/>
          <w:szCs w:val="32"/>
          <w:highlight w:val="none"/>
        </w:rPr>
        <w:t>万元，比上年末增加</w:t>
      </w:r>
      <w:r>
        <w:rPr>
          <w:rFonts w:hint="eastAsia" w:ascii="仿宋" w:hAnsi="仿宋" w:eastAsia="仿宋" w:cs="仿宋"/>
          <w:sz w:val="32"/>
          <w:szCs w:val="32"/>
          <w:highlight w:val="none"/>
          <w:lang w:val="en-US" w:eastAsia="zh-CN"/>
        </w:rPr>
        <w:t>11305</w:t>
      </w:r>
      <w:r>
        <w:rPr>
          <w:rFonts w:hint="eastAsia" w:ascii="仿宋" w:hAnsi="仿宋" w:eastAsia="仿宋" w:cs="仿宋"/>
          <w:sz w:val="32"/>
          <w:szCs w:val="32"/>
          <w:highlight w:val="none"/>
        </w:rPr>
        <w:t>万元。</w:t>
      </w:r>
    </w:p>
    <w:p w14:paraId="164150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u w:val="none"/>
        </w:rPr>
      </w:pPr>
      <w:r>
        <w:rPr>
          <w:rFonts w:hint="eastAsia" w:ascii="仿宋" w:hAnsi="仿宋" w:eastAsia="仿宋" w:cs="仿宋"/>
          <w:color w:val="auto"/>
          <w:sz w:val="32"/>
          <w:szCs w:val="32"/>
          <w:u w:val="none"/>
        </w:rPr>
        <w:t>全年保险公司原保险保费收入</w:t>
      </w:r>
      <w:r>
        <w:rPr>
          <w:rFonts w:hint="eastAsia" w:ascii="仿宋" w:hAnsi="仿宋" w:eastAsia="仿宋" w:cs="仿宋"/>
          <w:color w:val="auto"/>
          <w:sz w:val="32"/>
          <w:szCs w:val="32"/>
          <w:u w:val="none"/>
          <w:lang w:val="en-US" w:eastAsia="zh-CN"/>
        </w:rPr>
        <w:t>2489.1万</w:t>
      </w:r>
      <w:r>
        <w:rPr>
          <w:rFonts w:hint="eastAsia" w:ascii="仿宋" w:hAnsi="仿宋" w:eastAsia="仿宋" w:cs="仿宋"/>
          <w:color w:val="auto"/>
          <w:sz w:val="32"/>
          <w:szCs w:val="32"/>
          <w:u w:val="none"/>
        </w:rPr>
        <w:t>元</w:t>
      </w: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寿保2262.22万元，人保226.88万元），</w:t>
      </w:r>
      <w:r>
        <w:rPr>
          <w:rFonts w:hint="eastAsia" w:ascii="仿宋" w:hAnsi="仿宋" w:eastAsia="仿宋" w:cs="仿宋"/>
          <w:color w:val="auto"/>
          <w:sz w:val="32"/>
          <w:szCs w:val="32"/>
          <w:u w:val="none"/>
        </w:rPr>
        <w:t>比上年增长</w:t>
      </w:r>
      <w:r>
        <w:rPr>
          <w:rFonts w:hint="eastAsia" w:ascii="仿宋" w:hAnsi="仿宋" w:eastAsia="仿宋" w:cs="仿宋"/>
          <w:color w:val="auto"/>
          <w:sz w:val="32"/>
          <w:szCs w:val="32"/>
          <w:u w:val="none"/>
          <w:lang w:val="en-US" w:eastAsia="zh-CN"/>
        </w:rPr>
        <w:t>21</w:t>
      </w:r>
      <w:r>
        <w:rPr>
          <w:rFonts w:hint="eastAsia" w:ascii="仿宋" w:hAnsi="仿宋" w:eastAsia="仿宋" w:cs="仿宋"/>
          <w:color w:val="auto"/>
          <w:sz w:val="32"/>
          <w:szCs w:val="32"/>
          <w:u w:val="none"/>
        </w:rPr>
        <w:t>%。</w:t>
      </w:r>
    </w:p>
    <w:p w14:paraId="5486A7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九</w:t>
      </w:r>
      <w:r>
        <w:rPr>
          <w:rFonts w:hint="eastAsia" w:ascii="黑体" w:hAnsi="黑体" w:eastAsia="黑体" w:cs="黑体"/>
          <w:sz w:val="32"/>
          <w:szCs w:val="32"/>
        </w:rPr>
        <w:t>、教育、文化和卫生</w:t>
      </w:r>
    </w:p>
    <w:p w14:paraId="655E80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截至目前，全县正式在职教职803人，其中小学教师419人、初中教师177人、幼儿园教师198人、教研员9人；在校学生共计11850人，其中小学生6455人，初中生2747人，幼儿园学生2648人。小学净入学率达到99.92%、初中毛入学率达到99.31%、学前毛入园率达到90.19％，义务教育巩固率99.9%。</w:t>
      </w:r>
    </w:p>
    <w:p w14:paraId="40F1CE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全县共有非专业演出团体</w:t>
      </w:r>
      <w:r>
        <w:rPr>
          <w:rFonts w:hint="eastAsia" w:ascii="仿宋" w:hAnsi="仿宋" w:eastAsia="仿宋" w:cs="仿宋"/>
          <w:sz w:val="32"/>
          <w:szCs w:val="32"/>
          <w:lang w:val="en-US" w:eastAsia="zh-CN"/>
        </w:rPr>
        <w:t>72</w:t>
      </w:r>
      <w:r>
        <w:rPr>
          <w:rFonts w:hint="eastAsia" w:ascii="仿宋" w:hAnsi="仿宋" w:eastAsia="仿宋" w:cs="仿宋"/>
          <w:sz w:val="32"/>
          <w:szCs w:val="32"/>
        </w:rPr>
        <w:t>个</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包括各村居</w:t>
      </w:r>
      <w:r>
        <w:rPr>
          <w:rFonts w:hint="eastAsia" w:ascii="仿宋" w:hAnsi="仿宋" w:eastAsia="仿宋" w:cs="仿宋"/>
          <w:sz w:val="32"/>
          <w:szCs w:val="32"/>
          <w:lang w:eastAsia="zh-CN"/>
        </w:rPr>
        <w:t>），</w:t>
      </w:r>
      <w:r>
        <w:rPr>
          <w:rFonts w:hint="eastAsia" w:ascii="仿宋" w:hAnsi="仿宋" w:eastAsia="仿宋" w:cs="仿宋"/>
          <w:sz w:val="32"/>
          <w:szCs w:val="32"/>
        </w:rPr>
        <w:t>专业演出团体</w:t>
      </w:r>
      <w:r>
        <w:rPr>
          <w:rFonts w:hint="eastAsia" w:ascii="仿宋" w:hAnsi="仿宋" w:eastAsia="仿宋" w:cs="仿宋"/>
          <w:sz w:val="32"/>
          <w:szCs w:val="32"/>
          <w:lang w:val="en-US" w:eastAsia="zh-CN"/>
        </w:rPr>
        <w:t>即</w:t>
      </w:r>
      <w:r>
        <w:rPr>
          <w:rFonts w:hint="eastAsia" w:ascii="仿宋" w:hAnsi="仿宋" w:eastAsia="仿宋" w:cs="仿宋"/>
          <w:sz w:val="32"/>
          <w:szCs w:val="32"/>
        </w:rPr>
        <w:t>县民间艺术团</w:t>
      </w:r>
      <w:r>
        <w:rPr>
          <w:rFonts w:hint="eastAsia" w:ascii="仿宋" w:hAnsi="仿宋" w:eastAsia="仿宋" w:cs="仿宋"/>
          <w:sz w:val="32"/>
          <w:szCs w:val="32"/>
          <w:lang w:val="en-US" w:eastAsia="zh-CN"/>
        </w:rPr>
        <w:t>1个</w:t>
      </w:r>
      <w:r>
        <w:rPr>
          <w:rFonts w:hint="eastAsia" w:ascii="仿宋" w:hAnsi="仿宋" w:eastAsia="仿宋" w:cs="仿宋"/>
          <w:sz w:val="32"/>
          <w:szCs w:val="32"/>
        </w:rPr>
        <w:t>，乡镇文化站11个，农家书屋70个，寺庙书屋</w:t>
      </w:r>
      <w:r>
        <w:rPr>
          <w:rFonts w:hint="eastAsia" w:ascii="仿宋" w:hAnsi="仿宋" w:eastAsia="仿宋" w:cs="仿宋"/>
          <w:sz w:val="32"/>
          <w:szCs w:val="32"/>
          <w:lang w:val="en-US" w:eastAsia="zh-CN"/>
        </w:rPr>
        <w:t>2</w:t>
      </w:r>
      <w:r>
        <w:rPr>
          <w:rFonts w:hint="eastAsia" w:ascii="仿宋" w:hAnsi="仿宋" w:eastAsia="仿宋" w:cs="仿宋"/>
          <w:sz w:val="32"/>
          <w:szCs w:val="32"/>
        </w:rPr>
        <w:t>5个。全县广播、电视人口综合覆盖率均</w:t>
      </w:r>
      <w:r>
        <w:rPr>
          <w:rFonts w:hint="eastAsia" w:ascii="仿宋" w:hAnsi="仿宋" w:eastAsia="仿宋" w:cs="仿宋"/>
          <w:color w:val="auto"/>
          <w:sz w:val="32"/>
          <w:szCs w:val="32"/>
        </w:rPr>
        <w:t>为</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14:paraId="0527BC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全县卫生机构专业技术人员505人，其中执业（助理）医师120人，每千人拥有卫生技术人员 8.4人；医疗机构床位数168张，每千人拥有床位数2.8张。</w:t>
      </w:r>
    </w:p>
    <w:p w14:paraId="1F3152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十</w:t>
      </w:r>
      <w:r>
        <w:rPr>
          <w:rFonts w:hint="eastAsia" w:ascii="黑体" w:hAnsi="黑体" w:eastAsia="黑体" w:cs="黑体"/>
          <w:sz w:val="32"/>
          <w:szCs w:val="32"/>
        </w:rPr>
        <w:t>、人民生活</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就业</w:t>
      </w:r>
      <w:r>
        <w:rPr>
          <w:rFonts w:hint="eastAsia" w:ascii="黑体" w:hAnsi="黑体" w:eastAsia="黑体" w:cs="黑体"/>
          <w:sz w:val="32"/>
          <w:szCs w:val="32"/>
        </w:rPr>
        <w:t>和社会保障</w:t>
      </w:r>
    </w:p>
    <w:p w14:paraId="4B4CE0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截止年底，全县参加城乡居民基本医疗保险54147人，参加城乡居民养老保险33477人，60岁以上领取养老金人数5014人。全年接受技能培训人数1002人，完成转移就业</w:t>
      </w:r>
      <w:r>
        <w:rPr>
          <w:rFonts w:hint="eastAsia" w:ascii="仿宋" w:hAnsi="仿宋" w:eastAsia="仿宋" w:cs="仿宋"/>
          <w:color w:val="auto"/>
          <w:sz w:val="32"/>
          <w:szCs w:val="32"/>
          <w:lang w:val="en-US" w:eastAsia="zh-CN"/>
        </w:rPr>
        <w:t>12451</w:t>
      </w:r>
      <w:r>
        <w:rPr>
          <w:rFonts w:hint="eastAsia" w:ascii="仿宋" w:hAnsi="仿宋" w:eastAsia="仿宋" w:cs="仿宋"/>
          <w:color w:val="auto"/>
          <w:sz w:val="32"/>
          <w:szCs w:val="32"/>
        </w:rPr>
        <w:t>人次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转移就业收入2.17亿元。</w:t>
      </w:r>
      <w:r>
        <w:rPr>
          <w:rFonts w:hint="eastAsia" w:ascii="仿宋" w:hAnsi="仿宋" w:eastAsia="仿宋" w:cs="仿宋"/>
          <w:color w:val="auto"/>
          <w:sz w:val="32"/>
          <w:szCs w:val="32"/>
        </w:rPr>
        <w:t>城镇失业率</w:t>
      </w:r>
      <w:r>
        <w:rPr>
          <w:rFonts w:hint="eastAsia" w:ascii="仿宋" w:hAnsi="仿宋" w:eastAsia="仿宋" w:cs="仿宋"/>
          <w:color w:val="auto"/>
          <w:sz w:val="32"/>
          <w:szCs w:val="32"/>
          <w:lang w:val="en-US" w:eastAsia="zh-CN"/>
        </w:rPr>
        <w:t>控制在2%以内</w:t>
      </w:r>
      <w:r>
        <w:rPr>
          <w:rFonts w:hint="eastAsia" w:ascii="仿宋" w:hAnsi="仿宋" w:eastAsia="仿宋" w:cs="仿宋"/>
          <w:color w:val="auto"/>
          <w:sz w:val="32"/>
          <w:szCs w:val="32"/>
        </w:rPr>
        <w:t>。</w:t>
      </w:r>
    </w:p>
    <w:p w14:paraId="2C0894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全县城镇居民中共有83人纳入城镇最低生活保障，农村居民中共有</w:t>
      </w:r>
      <w:r>
        <w:rPr>
          <w:rFonts w:hint="eastAsia" w:ascii="仿宋" w:hAnsi="仿宋" w:eastAsia="仿宋" w:cs="仿宋"/>
          <w:color w:val="auto"/>
          <w:sz w:val="32"/>
          <w:szCs w:val="32"/>
          <w:lang w:val="en-US" w:eastAsia="zh-CN"/>
        </w:rPr>
        <w:t>8096</w:t>
      </w:r>
      <w:r>
        <w:rPr>
          <w:rFonts w:hint="eastAsia" w:ascii="仿宋" w:hAnsi="仿宋" w:eastAsia="仿宋" w:cs="仿宋"/>
          <w:color w:val="auto"/>
          <w:sz w:val="32"/>
          <w:szCs w:val="32"/>
        </w:rPr>
        <w:t>人纳入农村最低生活保障,</w:t>
      </w:r>
      <w:r>
        <w:rPr>
          <w:rFonts w:hint="eastAsia" w:ascii="仿宋" w:hAnsi="仿宋" w:eastAsia="仿宋" w:cs="仿宋"/>
          <w:color w:val="auto"/>
          <w:sz w:val="32"/>
          <w:szCs w:val="32"/>
          <w:lang w:val="en-US" w:eastAsia="zh-CN"/>
        </w:rPr>
        <w:t>五保供养人员247</w:t>
      </w:r>
      <w:r>
        <w:rPr>
          <w:rFonts w:hint="eastAsia" w:ascii="仿宋" w:hAnsi="仿宋" w:eastAsia="仿宋" w:cs="仿宋"/>
          <w:color w:val="auto"/>
          <w:sz w:val="32"/>
          <w:szCs w:val="32"/>
        </w:rPr>
        <w:t>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包括：集中供养96人，分散供养151人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268660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2025年，</w:t>
      </w:r>
      <w:r>
        <w:rPr>
          <w:rFonts w:hint="eastAsia" w:ascii="仿宋" w:hAnsi="仿宋" w:eastAsia="仿宋" w:cs="仿宋"/>
          <w:sz w:val="32"/>
          <w:szCs w:val="32"/>
        </w:rPr>
        <w:t>全县城乡居民人均可支配收入分别为</w:t>
      </w:r>
      <w:r>
        <w:rPr>
          <w:rFonts w:hint="eastAsia" w:ascii="仿宋" w:hAnsi="仿宋" w:eastAsia="仿宋" w:cs="仿宋"/>
          <w:sz w:val="32"/>
          <w:szCs w:val="32"/>
          <w:lang w:val="en-US" w:eastAsia="zh-CN"/>
        </w:rPr>
        <w:t>51969</w:t>
      </w:r>
      <w:r>
        <w:rPr>
          <w:rFonts w:hint="eastAsia" w:ascii="仿宋" w:hAnsi="仿宋" w:eastAsia="仿宋" w:cs="仿宋"/>
          <w:sz w:val="32"/>
          <w:szCs w:val="32"/>
        </w:rPr>
        <w:t>元和</w:t>
      </w:r>
      <w:r>
        <w:rPr>
          <w:rFonts w:hint="eastAsia" w:ascii="仿宋" w:hAnsi="仿宋" w:eastAsia="仿宋" w:cs="仿宋"/>
          <w:sz w:val="32"/>
          <w:szCs w:val="32"/>
          <w:lang w:val="en-US" w:eastAsia="zh-CN"/>
        </w:rPr>
        <w:t>21250</w:t>
      </w:r>
      <w:r>
        <w:rPr>
          <w:rFonts w:hint="eastAsia" w:ascii="仿宋" w:hAnsi="仿宋" w:eastAsia="仿宋" w:cs="仿宋"/>
          <w:sz w:val="32"/>
          <w:szCs w:val="32"/>
        </w:rPr>
        <w:t>元，比上年分别增长6.</w:t>
      </w:r>
      <w:r>
        <w:rPr>
          <w:rFonts w:hint="eastAsia" w:ascii="仿宋" w:hAnsi="仿宋" w:eastAsia="仿宋" w:cs="仿宋"/>
          <w:sz w:val="32"/>
          <w:szCs w:val="32"/>
          <w:lang w:val="en-US" w:eastAsia="zh-CN"/>
        </w:rPr>
        <w:t>1</w:t>
      </w:r>
      <w:r>
        <w:rPr>
          <w:rFonts w:hint="eastAsia" w:ascii="仿宋" w:hAnsi="仿宋" w:eastAsia="仿宋" w:cs="仿宋"/>
          <w:sz w:val="32"/>
          <w:szCs w:val="32"/>
        </w:rPr>
        <w:t>%和</w:t>
      </w:r>
      <w:r>
        <w:rPr>
          <w:rFonts w:hint="eastAsia" w:ascii="仿宋" w:hAnsi="仿宋" w:eastAsia="仿宋" w:cs="仿宋"/>
          <w:sz w:val="32"/>
          <w:szCs w:val="32"/>
          <w:lang w:val="en-US" w:eastAsia="zh-CN"/>
        </w:rPr>
        <w:t>7.7</w:t>
      </w:r>
      <w:r>
        <w:rPr>
          <w:rFonts w:hint="eastAsia" w:ascii="仿宋" w:hAnsi="仿宋" w:eastAsia="仿宋" w:cs="仿宋"/>
          <w:sz w:val="32"/>
          <w:szCs w:val="32"/>
        </w:rPr>
        <w:t>%。</w:t>
      </w:r>
    </w:p>
    <w:p w14:paraId="45490AB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lang w:eastAsia="zh-CN"/>
        </w:rPr>
        <w:drawing>
          <wp:anchor distT="0" distB="0" distL="114300" distR="114300" simplePos="0" relativeHeight="251665408" behindDoc="0" locked="0" layoutInCell="1" allowOverlap="1">
            <wp:simplePos x="0" y="0"/>
            <wp:positionH relativeFrom="column">
              <wp:posOffset>190500</wp:posOffset>
            </wp:positionH>
            <wp:positionV relativeFrom="paragraph">
              <wp:posOffset>87630</wp:posOffset>
            </wp:positionV>
            <wp:extent cx="5268595" cy="2884805"/>
            <wp:effectExtent l="0" t="0" r="8255" b="10795"/>
            <wp:wrapNone/>
            <wp:docPr id="3" name="图片 3" descr="7c2c0e4a83255f3564e874d643316c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c2c0e4a83255f3564e874d643316c0d"/>
                    <pic:cNvPicPr>
                      <a:picLocks noChangeAspect="1"/>
                    </pic:cNvPicPr>
                  </pic:nvPicPr>
                  <pic:blipFill>
                    <a:blip r:embed="rId13"/>
                    <a:stretch>
                      <a:fillRect/>
                    </a:stretch>
                  </pic:blipFill>
                  <pic:spPr>
                    <a:xfrm>
                      <a:off x="0" y="0"/>
                      <a:ext cx="5268595" cy="2884805"/>
                    </a:xfrm>
                    <a:prstGeom prst="rect">
                      <a:avLst/>
                    </a:prstGeom>
                  </pic:spPr>
                </pic:pic>
              </a:graphicData>
            </a:graphic>
          </wp:anchor>
        </w:drawing>
      </w:r>
    </w:p>
    <w:p w14:paraId="03FC6D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081213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105191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3B94D1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38B0BB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4DCC24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60340BD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lang w:val="en-US" w:eastAsia="zh-CN"/>
        </w:rPr>
      </w:pPr>
    </w:p>
    <w:p w14:paraId="237EABBF">
      <w:pPr>
        <w:keepNext w:val="0"/>
        <w:keepLines w:val="0"/>
        <w:pageBreakBefore w:val="0"/>
        <w:widowControl w:val="0"/>
        <w:kinsoku/>
        <w:wordWrap/>
        <w:overflowPunct/>
        <w:topLinePunct w:val="0"/>
        <w:autoSpaceDE/>
        <w:autoSpaceDN/>
        <w:bidi w:val="0"/>
        <w:adjustRightInd/>
        <w:snapToGrid/>
        <w:spacing w:line="560" w:lineRule="exact"/>
        <w:ind w:firstLine="2160" w:firstLineChars="9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图8 2021-2025年城镇居民人均可支配收入</w:t>
      </w:r>
    </w:p>
    <w:p w14:paraId="29D735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1682F1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drawing>
          <wp:anchor distT="0" distB="0" distL="114300" distR="114300" simplePos="0" relativeHeight="251667456" behindDoc="0" locked="0" layoutInCell="1" allowOverlap="1">
            <wp:simplePos x="0" y="0"/>
            <wp:positionH relativeFrom="column">
              <wp:posOffset>133350</wp:posOffset>
            </wp:positionH>
            <wp:positionV relativeFrom="paragraph">
              <wp:posOffset>81280</wp:posOffset>
            </wp:positionV>
            <wp:extent cx="5273675" cy="2885440"/>
            <wp:effectExtent l="0" t="0" r="3175" b="10160"/>
            <wp:wrapNone/>
            <wp:docPr id="4" name="图片 4" descr="4136835f707223b3e2627f31f36d70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136835f707223b3e2627f31f36d70e5"/>
                    <pic:cNvPicPr>
                      <a:picLocks noChangeAspect="1"/>
                    </pic:cNvPicPr>
                  </pic:nvPicPr>
                  <pic:blipFill>
                    <a:blip r:embed="rId14"/>
                    <a:stretch>
                      <a:fillRect/>
                    </a:stretch>
                  </pic:blipFill>
                  <pic:spPr>
                    <a:xfrm>
                      <a:off x="0" y="0"/>
                      <a:ext cx="5273675" cy="2885440"/>
                    </a:xfrm>
                    <a:prstGeom prst="rect">
                      <a:avLst/>
                    </a:prstGeom>
                  </pic:spPr>
                </pic:pic>
              </a:graphicData>
            </a:graphic>
          </wp:anchor>
        </w:drawing>
      </w:r>
    </w:p>
    <w:p w14:paraId="2369CB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358726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182007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4E6801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1C6CF9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2473F8D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lang w:val="en-US" w:eastAsia="zh-CN"/>
        </w:rPr>
      </w:pPr>
    </w:p>
    <w:p w14:paraId="35B34D54">
      <w:pPr>
        <w:keepNext w:val="0"/>
        <w:keepLines w:val="0"/>
        <w:pageBreakBefore w:val="0"/>
        <w:widowControl w:val="0"/>
        <w:kinsoku/>
        <w:wordWrap/>
        <w:overflowPunct/>
        <w:topLinePunct w:val="0"/>
        <w:autoSpaceDE/>
        <w:autoSpaceDN/>
        <w:bidi w:val="0"/>
        <w:adjustRightInd/>
        <w:snapToGrid/>
        <w:spacing w:line="560" w:lineRule="exact"/>
        <w:ind w:firstLine="2400" w:firstLineChars="1000"/>
        <w:textAlignment w:val="auto"/>
        <w:rPr>
          <w:rFonts w:hint="eastAsia" w:ascii="宋体" w:hAnsi="宋体" w:eastAsia="宋体" w:cs="宋体"/>
          <w:sz w:val="24"/>
          <w:szCs w:val="24"/>
          <w:lang w:val="en-US" w:eastAsia="zh-CN"/>
        </w:rPr>
      </w:pPr>
    </w:p>
    <w:p w14:paraId="483716F8">
      <w:pPr>
        <w:keepNext w:val="0"/>
        <w:keepLines w:val="0"/>
        <w:pageBreakBefore w:val="0"/>
        <w:widowControl w:val="0"/>
        <w:kinsoku/>
        <w:wordWrap/>
        <w:overflowPunct/>
        <w:topLinePunct w:val="0"/>
        <w:autoSpaceDE/>
        <w:autoSpaceDN/>
        <w:bidi w:val="0"/>
        <w:adjustRightInd/>
        <w:snapToGrid/>
        <w:spacing w:line="560" w:lineRule="exact"/>
        <w:ind w:firstLine="2160" w:firstLineChars="9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图9  2021-2025年农村居民人均可支配收入</w:t>
      </w:r>
    </w:p>
    <w:p w14:paraId="2D3683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十一</w:t>
      </w:r>
      <w:r>
        <w:rPr>
          <w:rFonts w:hint="eastAsia" w:ascii="黑体" w:hAnsi="黑体" w:eastAsia="黑体" w:cs="黑体"/>
          <w:b w:val="0"/>
          <w:bCs w:val="0"/>
          <w:sz w:val="32"/>
          <w:szCs w:val="32"/>
          <w:highlight w:val="none"/>
        </w:rPr>
        <w:t>、生态环境</w:t>
      </w:r>
    </w:p>
    <w:p w14:paraId="3E3097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2025年，全县林地面积49.17万公顷（4917平方公里）；草地面积25.4万公顷（2540平方公里），覆盖率31.52%。综合植被盖度92%。自然保护区面积5359.3公顷。森林覆盖率48.17%。</w:t>
      </w:r>
    </w:p>
    <w:p w14:paraId="54B7D7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空气质量全面达标《环境空气质量标准》，优良率为100%。水质稳定达标国家《地表水环境质量标准》Π类标准。全县共有河流94条，湖泊6座，设置县、乡、村“三级”河长136名，开展县级巡河（湖)40次、乡级巡河（湖）1540次，村级巡河（湖）5840次。</w:t>
      </w:r>
    </w:p>
    <w:p w14:paraId="7BAE950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注释：</w:t>
      </w:r>
    </w:p>
    <w:p w14:paraId="6FF0403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kern w:val="2"/>
          <w:sz w:val="32"/>
          <w:szCs w:val="32"/>
          <w:lang w:val="en-US" w:eastAsia="zh-CN" w:bidi="ar-SA"/>
        </w:rPr>
        <w:t>[1]</w:t>
      </w:r>
      <w:r>
        <w:rPr>
          <w:rFonts w:hint="eastAsia" w:ascii="仿宋" w:hAnsi="仿宋" w:eastAsia="仿宋" w:cs="仿宋"/>
          <w:sz w:val="32"/>
          <w:szCs w:val="32"/>
          <w:highlight w:val="none"/>
        </w:rPr>
        <w:t>本公报数据均为初步统计数，部分数据因四舍五入的原因，存在总计与分项合计不等的情况。</w:t>
      </w:r>
    </w:p>
    <w:p w14:paraId="3CC83BE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[2]交通、邮电、旅游、财政、金融、保险、教育、</w:t>
      </w:r>
      <w:r>
        <w:rPr>
          <w:rFonts w:hint="eastAsia" w:ascii="仿宋" w:hAnsi="仿宋" w:eastAsia="仿宋" w:cs="仿宋"/>
          <w:sz w:val="32"/>
          <w:szCs w:val="32"/>
          <w:highlight w:val="none"/>
          <w:lang w:val="en-US" w:eastAsia="zh-CN"/>
        </w:rPr>
        <w:t>林业</w:t>
      </w:r>
      <w:r>
        <w:rPr>
          <w:rFonts w:hint="eastAsia" w:ascii="仿宋" w:hAnsi="仿宋" w:eastAsia="仿宋" w:cs="仿宋"/>
          <w:sz w:val="32"/>
          <w:szCs w:val="32"/>
          <w:highlight w:val="none"/>
        </w:rPr>
        <w:t>、文化、卫生、</w:t>
      </w:r>
      <w:r>
        <w:rPr>
          <w:rFonts w:hint="eastAsia" w:ascii="仿宋" w:hAnsi="仿宋" w:eastAsia="仿宋" w:cs="仿宋"/>
          <w:sz w:val="32"/>
          <w:szCs w:val="32"/>
          <w:highlight w:val="none"/>
          <w:lang w:val="en-US" w:eastAsia="zh-CN"/>
        </w:rPr>
        <w:t>水利</w:t>
      </w:r>
      <w:r>
        <w:rPr>
          <w:rFonts w:hint="eastAsia" w:ascii="仿宋" w:hAnsi="仿宋" w:eastAsia="仿宋" w:cs="仿宋"/>
          <w:sz w:val="32"/>
          <w:szCs w:val="32"/>
          <w:highlight w:val="none"/>
        </w:rPr>
        <w:t>、社会保障方面的数据均由</w:t>
      </w:r>
      <w:r>
        <w:rPr>
          <w:rFonts w:hint="eastAsia" w:ascii="仿宋" w:hAnsi="仿宋" w:eastAsia="仿宋" w:cs="仿宋"/>
          <w:sz w:val="32"/>
          <w:szCs w:val="32"/>
          <w:highlight w:val="none"/>
          <w:lang w:val="en-US" w:eastAsia="zh-CN"/>
        </w:rPr>
        <w:t>县</w:t>
      </w:r>
      <w:r>
        <w:rPr>
          <w:rFonts w:hint="eastAsia" w:ascii="仿宋" w:hAnsi="仿宋" w:eastAsia="仿宋" w:cs="仿宋"/>
          <w:sz w:val="32"/>
          <w:szCs w:val="32"/>
          <w:highlight w:val="none"/>
        </w:rPr>
        <w:t>各有关部门提供。</w:t>
      </w:r>
    </w:p>
    <w:p w14:paraId="608CE8D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[3]地区生产总值及其各产业、工业和建筑业增加值绝对数按现价计算，增长速度按可比价计算。其它指标未特殊说明均按现价计算。</w:t>
      </w:r>
    </w:p>
    <w:p w14:paraId="5DC5868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62D391F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46B7394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073C377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2A39A7E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3ECA96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29C8C7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3994C93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4940B93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76764">
    <w:pPr>
      <w:pStyle w:val="3"/>
    </w:pPr>
  </w:p>
  <w:p w14:paraId="037B8F94">
    <w:pPr>
      <w:pStyle w:val="3"/>
    </w:pPr>
  </w:p>
  <w:p w14:paraId="561C9BB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4E6B47">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4E6B47">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863A86"/>
    <w:rsid w:val="02105DD0"/>
    <w:rsid w:val="023B2017"/>
    <w:rsid w:val="02BE3A7E"/>
    <w:rsid w:val="0D1F15BD"/>
    <w:rsid w:val="0ED463D8"/>
    <w:rsid w:val="0FAB0EE6"/>
    <w:rsid w:val="0FFD54BA"/>
    <w:rsid w:val="10033D76"/>
    <w:rsid w:val="10132E46"/>
    <w:rsid w:val="123A16CD"/>
    <w:rsid w:val="152754B3"/>
    <w:rsid w:val="167D0EC8"/>
    <w:rsid w:val="172F4AF3"/>
    <w:rsid w:val="17430560"/>
    <w:rsid w:val="191E097B"/>
    <w:rsid w:val="1C093B64"/>
    <w:rsid w:val="1C196D5F"/>
    <w:rsid w:val="1DE06B47"/>
    <w:rsid w:val="1E4E1D03"/>
    <w:rsid w:val="1FC2624B"/>
    <w:rsid w:val="208E288A"/>
    <w:rsid w:val="209E709A"/>
    <w:rsid w:val="21B55245"/>
    <w:rsid w:val="23045086"/>
    <w:rsid w:val="23B25926"/>
    <w:rsid w:val="24704055"/>
    <w:rsid w:val="249661B1"/>
    <w:rsid w:val="24CF521F"/>
    <w:rsid w:val="24F86524"/>
    <w:rsid w:val="25B74631"/>
    <w:rsid w:val="26733D20"/>
    <w:rsid w:val="28000BE6"/>
    <w:rsid w:val="28956780"/>
    <w:rsid w:val="2E0E6DB8"/>
    <w:rsid w:val="2F2D3418"/>
    <w:rsid w:val="301A5EE8"/>
    <w:rsid w:val="303B07FE"/>
    <w:rsid w:val="32340DB8"/>
    <w:rsid w:val="34DA5C46"/>
    <w:rsid w:val="34FF407A"/>
    <w:rsid w:val="350C7431"/>
    <w:rsid w:val="3D3B749E"/>
    <w:rsid w:val="3EB55FC8"/>
    <w:rsid w:val="3FB41276"/>
    <w:rsid w:val="425A03C6"/>
    <w:rsid w:val="47A83982"/>
    <w:rsid w:val="48D16F09"/>
    <w:rsid w:val="4AD11442"/>
    <w:rsid w:val="4B8144F8"/>
    <w:rsid w:val="4BE544A7"/>
    <w:rsid w:val="4BF076A6"/>
    <w:rsid w:val="4D5763B7"/>
    <w:rsid w:val="4E395651"/>
    <w:rsid w:val="4E9133C2"/>
    <w:rsid w:val="4F163BDA"/>
    <w:rsid w:val="50A13664"/>
    <w:rsid w:val="531B704F"/>
    <w:rsid w:val="54C3004D"/>
    <w:rsid w:val="56024C96"/>
    <w:rsid w:val="57995095"/>
    <w:rsid w:val="58FF70EA"/>
    <w:rsid w:val="5C7B2FBB"/>
    <w:rsid w:val="5CFE2BBF"/>
    <w:rsid w:val="5D3C274B"/>
    <w:rsid w:val="5FBE7D8F"/>
    <w:rsid w:val="5FE175D9"/>
    <w:rsid w:val="614F7278"/>
    <w:rsid w:val="65DB249D"/>
    <w:rsid w:val="67957627"/>
    <w:rsid w:val="67A73CFD"/>
    <w:rsid w:val="681D0754"/>
    <w:rsid w:val="68BC5088"/>
    <w:rsid w:val="68E343C2"/>
    <w:rsid w:val="691B0000"/>
    <w:rsid w:val="69E55F18"/>
    <w:rsid w:val="6A9C0CCD"/>
    <w:rsid w:val="6B863A86"/>
    <w:rsid w:val="6DCF3D5D"/>
    <w:rsid w:val="6E9D5013"/>
    <w:rsid w:val="6EB760D5"/>
    <w:rsid w:val="6EB85ED6"/>
    <w:rsid w:val="6F58499E"/>
    <w:rsid w:val="6F5C0FA2"/>
    <w:rsid w:val="6FB82721"/>
    <w:rsid w:val="6FCF56A0"/>
    <w:rsid w:val="706758D9"/>
    <w:rsid w:val="71EE5408"/>
    <w:rsid w:val="72037883"/>
    <w:rsid w:val="73BA5927"/>
    <w:rsid w:val="743D2535"/>
    <w:rsid w:val="747607E0"/>
    <w:rsid w:val="753B6270"/>
    <w:rsid w:val="7554667F"/>
    <w:rsid w:val="78000AED"/>
    <w:rsid w:val="7808332B"/>
    <w:rsid w:val="7AEE7323"/>
    <w:rsid w:val="7CF95B0B"/>
    <w:rsid w:val="7D027725"/>
    <w:rsid w:val="7E4D0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NULL"/><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2307</Words>
  <Characters>2890</Characters>
  <Lines>0</Lines>
  <Paragraphs>0</Paragraphs>
  <TotalTime>3</TotalTime>
  <ScaleCrop>false</ScaleCrop>
  <LinksUpToDate>false</LinksUpToDate>
  <CharactersWithSpaces>2905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2025-04-16T04:51:00Z</dcterms:created>
  <dc:creator>〜根〜</dc:creator>
  <cp:lastModifiedBy>芊人一面</cp:lastModifiedBy>
  <cp:lastPrinted>2026-04-03T08:53:00Z</cp:lastPrinted>
  <dcterms:modified xsi:type="dcterms:W3CDTF">2026-05-22T09:45:35Z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91C0D014E55942DA96FCEB0B9CAF8FA6_13</vt:lpwstr>
  </property>
  <property fmtid="{D5CDD505-2E9C-101B-9397-08002B2CF9AE}" pid="4" name="KSOTemplateDocerSaveRecord">
    <vt:lpwstr>eyJoZGlkIjoiNTAyOTRhMGRjMDUxNDYyYTlkYmI1OTU1ODk4NjA2NGQiLCJ1c2VySWQiOiIzNTc1NTIyNTkifQ==</vt:lpwstr>
  </property>
</Properties>
</file>