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57C814">
      <w:pPr>
        <w:snapToGrid w:val="0"/>
        <w:spacing w:line="360" w:lineRule="auto"/>
        <w:jc w:val="center"/>
        <w:rPr>
          <w:rFonts w:ascii="Times New Roman" w:hAnsi="Times New Roman" w:eastAsia="方正小标宋简体" w:cs="Times New Roman"/>
          <w:sz w:val="40"/>
          <w:szCs w:val="44"/>
        </w:rPr>
      </w:pPr>
    </w:p>
    <w:p w14:paraId="7AA357BE">
      <w:pPr>
        <w:snapToGrid w:val="0"/>
        <w:jc w:val="center"/>
        <w:rPr>
          <w:rFonts w:ascii="Times New Roman" w:hAnsi="Times New Roman" w:eastAsia="方正小标宋简体" w:cs="Times New Roman"/>
          <w:sz w:val="52"/>
          <w:szCs w:val="48"/>
        </w:rPr>
      </w:pPr>
    </w:p>
    <w:p w14:paraId="676A01DE">
      <w:pPr>
        <w:pStyle w:val="27"/>
        <w:rPr>
          <w:rFonts w:ascii="Times New Roman" w:hAnsi="Times New Roman" w:eastAsia="方正小标宋简体" w:cs="Times New Roman"/>
          <w:sz w:val="52"/>
          <w:szCs w:val="48"/>
        </w:rPr>
      </w:pPr>
    </w:p>
    <w:p w14:paraId="68D68693">
      <w:pPr>
        <w:pStyle w:val="27"/>
        <w:rPr>
          <w:rFonts w:ascii="Times New Roman" w:hAnsi="Times New Roman" w:eastAsia="方正小标宋简体" w:cs="Times New Roman"/>
          <w:sz w:val="52"/>
          <w:szCs w:val="48"/>
        </w:rPr>
      </w:pPr>
    </w:p>
    <w:p w14:paraId="08F5A8F2">
      <w:pPr>
        <w:snapToGrid w:val="0"/>
        <w:jc w:val="center"/>
        <w:rPr>
          <w:rFonts w:ascii="Times New Roman" w:hAnsi="Times New Roman" w:eastAsia="方正小标宋简体" w:cs="Times New Roman"/>
          <w:sz w:val="52"/>
          <w:szCs w:val="48"/>
        </w:rPr>
      </w:pPr>
      <w:r>
        <w:rPr>
          <w:rFonts w:ascii="Times New Roman" w:hAnsi="Times New Roman" w:eastAsia="方正小标宋简体" w:cs="Times New Roman"/>
          <w:sz w:val="52"/>
          <w:szCs w:val="48"/>
        </w:rPr>
        <w:t>昌都市</w:t>
      </w:r>
      <w:r>
        <w:rPr>
          <w:rFonts w:hint="eastAsia" w:ascii="Times New Roman" w:hAnsi="Times New Roman" w:eastAsia="方正小标宋简体" w:cs="Times New Roman"/>
          <w:sz w:val="52"/>
          <w:szCs w:val="48"/>
        </w:rPr>
        <w:t>洛隆县</w:t>
      </w:r>
      <w:r>
        <w:rPr>
          <w:rFonts w:ascii="Times New Roman" w:hAnsi="Times New Roman" w:eastAsia="方正小标宋简体" w:cs="Times New Roman"/>
          <w:sz w:val="52"/>
          <w:szCs w:val="48"/>
        </w:rPr>
        <w:t>西藏自治区生态文明</w:t>
      </w:r>
    </w:p>
    <w:p w14:paraId="535F02D6">
      <w:pPr>
        <w:snapToGrid w:val="0"/>
        <w:jc w:val="center"/>
        <w:rPr>
          <w:rFonts w:ascii="Times New Roman" w:hAnsi="Times New Roman" w:eastAsia="方正小标宋简体" w:cs="Times New Roman"/>
          <w:sz w:val="52"/>
          <w:szCs w:val="48"/>
        </w:rPr>
      </w:pPr>
      <w:r>
        <w:rPr>
          <w:rFonts w:ascii="Times New Roman" w:hAnsi="Times New Roman" w:eastAsia="方正小标宋简体" w:cs="Times New Roman"/>
          <w:sz w:val="52"/>
          <w:szCs w:val="48"/>
        </w:rPr>
        <w:t>建设示范县规划</w:t>
      </w:r>
    </w:p>
    <w:p w14:paraId="7EFCAB0C">
      <w:pPr>
        <w:snapToGrid w:val="0"/>
        <w:jc w:val="center"/>
        <w:rPr>
          <w:rFonts w:ascii="Times New Roman" w:hAnsi="Times New Roman" w:eastAsia="方正小标宋简体" w:cs="Times New Roman"/>
          <w:sz w:val="48"/>
          <w:szCs w:val="44"/>
        </w:rPr>
      </w:pPr>
      <w:r>
        <w:rPr>
          <w:rFonts w:ascii="Times New Roman" w:hAnsi="Times New Roman" w:eastAsia="方正小标宋简体" w:cs="Times New Roman"/>
          <w:sz w:val="48"/>
          <w:szCs w:val="44"/>
        </w:rPr>
        <w:t>（202</w:t>
      </w:r>
      <w:r>
        <w:rPr>
          <w:rFonts w:hint="eastAsia" w:ascii="Times New Roman" w:hAnsi="Times New Roman" w:eastAsia="方正小标宋简体" w:cs="Times New Roman"/>
          <w:sz w:val="48"/>
          <w:szCs w:val="44"/>
        </w:rPr>
        <w:t>2</w:t>
      </w:r>
      <w:r>
        <w:rPr>
          <w:rFonts w:ascii="Times New Roman" w:hAnsi="Times New Roman" w:eastAsia="方正小标宋简体" w:cs="Times New Roman"/>
          <w:sz w:val="48"/>
          <w:szCs w:val="44"/>
        </w:rPr>
        <w:t>-2030年）</w:t>
      </w:r>
    </w:p>
    <w:p w14:paraId="3E3AED5C">
      <w:pPr>
        <w:snapToGrid w:val="0"/>
        <w:jc w:val="center"/>
        <w:rPr>
          <w:rFonts w:ascii="Times New Roman" w:hAnsi="Times New Roman" w:eastAsia="方正小标宋简体" w:cs="Times New Roman"/>
          <w:sz w:val="48"/>
          <w:szCs w:val="44"/>
        </w:rPr>
      </w:pPr>
      <w:r>
        <w:rPr>
          <w:rFonts w:ascii="Times New Roman" w:hAnsi="Times New Roman" w:eastAsia="方正小标宋简体" w:cs="Times New Roman"/>
          <w:sz w:val="48"/>
          <w:szCs w:val="44"/>
        </w:rPr>
        <w:t>文  本</w:t>
      </w:r>
    </w:p>
    <w:p w14:paraId="75B0C1F4">
      <w:pPr>
        <w:snapToGrid w:val="0"/>
        <w:spacing w:line="360" w:lineRule="auto"/>
        <w:ind w:firstLine="560" w:firstLineChars="200"/>
        <w:rPr>
          <w:rFonts w:ascii="Times New Roman" w:hAnsi="Times New Roman" w:eastAsia="仿宋" w:cs="Times New Roman"/>
          <w:sz w:val="28"/>
          <w:szCs w:val="28"/>
        </w:rPr>
      </w:pPr>
    </w:p>
    <w:p w14:paraId="190D9E30">
      <w:pPr>
        <w:snapToGrid w:val="0"/>
        <w:spacing w:line="360" w:lineRule="auto"/>
        <w:ind w:firstLine="560" w:firstLineChars="200"/>
        <w:rPr>
          <w:rFonts w:ascii="Times New Roman" w:hAnsi="Times New Roman" w:eastAsia="仿宋" w:cs="Times New Roman"/>
          <w:sz w:val="28"/>
          <w:szCs w:val="28"/>
        </w:rPr>
      </w:pPr>
    </w:p>
    <w:p w14:paraId="3A7A4452">
      <w:pPr>
        <w:widowControl/>
        <w:adjustRightInd w:val="0"/>
        <w:snapToGrid w:val="0"/>
        <w:spacing w:before="100" w:beforeAutospacing="1"/>
        <w:ind w:left="1470" w:leftChars="700"/>
        <w:rPr>
          <w:rFonts w:ascii="Times New Roman" w:hAnsi="Times New Roman" w:eastAsia="黑体" w:cs="Times New Roman"/>
          <w:bCs/>
          <w:kern w:val="0"/>
          <w:sz w:val="32"/>
          <w:szCs w:val="32"/>
        </w:rPr>
      </w:pPr>
    </w:p>
    <w:p w14:paraId="7F9BD00F">
      <w:pPr>
        <w:widowControl/>
        <w:adjustRightInd w:val="0"/>
        <w:snapToGrid w:val="0"/>
        <w:spacing w:before="100" w:beforeAutospacing="1"/>
        <w:ind w:left="1470" w:leftChars="700"/>
        <w:rPr>
          <w:rFonts w:ascii="Times New Roman" w:hAnsi="Times New Roman" w:eastAsia="黑体" w:cs="Times New Roman"/>
          <w:bCs/>
          <w:kern w:val="0"/>
          <w:sz w:val="32"/>
          <w:szCs w:val="32"/>
        </w:rPr>
      </w:pPr>
    </w:p>
    <w:p w14:paraId="1789BA3A">
      <w:pPr>
        <w:pStyle w:val="27"/>
        <w:rPr>
          <w:rFonts w:ascii="Times New Roman" w:hAnsi="Times New Roman" w:eastAsia="黑体" w:cs="Times New Roman"/>
          <w:bCs/>
          <w:kern w:val="0"/>
          <w:sz w:val="32"/>
          <w:szCs w:val="32"/>
        </w:rPr>
      </w:pPr>
    </w:p>
    <w:p w14:paraId="19B9F068">
      <w:pPr>
        <w:pStyle w:val="27"/>
        <w:rPr>
          <w:rFonts w:ascii="Times New Roman" w:hAnsi="Times New Roman" w:eastAsia="黑体" w:cs="Times New Roman"/>
          <w:bCs/>
          <w:kern w:val="0"/>
          <w:sz w:val="32"/>
          <w:szCs w:val="32"/>
        </w:rPr>
      </w:pPr>
    </w:p>
    <w:p w14:paraId="0D487524">
      <w:pPr>
        <w:pStyle w:val="27"/>
        <w:rPr>
          <w:rFonts w:ascii="Times New Roman" w:hAnsi="Times New Roman" w:eastAsia="黑体" w:cs="Times New Roman"/>
          <w:bCs/>
          <w:kern w:val="0"/>
          <w:sz w:val="32"/>
          <w:szCs w:val="32"/>
        </w:rPr>
      </w:pPr>
    </w:p>
    <w:p w14:paraId="2FC291C3">
      <w:pPr>
        <w:pStyle w:val="27"/>
        <w:rPr>
          <w:rFonts w:ascii="Times New Roman" w:hAnsi="Times New Roman" w:eastAsia="黑体" w:cs="Times New Roman"/>
          <w:bCs/>
          <w:kern w:val="0"/>
          <w:sz w:val="32"/>
          <w:szCs w:val="32"/>
        </w:rPr>
      </w:pPr>
    </w:p>
    <w:p w14:paraId="565EBBB5">
      <w:pPr>
        <w:pStyle w:val="27"/>
        <w:rPr>
          <w:rFonts w:ascii="Times New Roman" w:hAnsi="Times New Roman" w:eastAsia="黑体" w:cs="Times New Roman"/>
          <w:bCs/>
          <w:kern w:val="0"/>
          <w:sz w:val="32"/>
          <w:szCs w:val="32"/>
        </w:rPr>
      </w:pPr>
    </w:p>
    <w:p w14:paraId="0B53EEBE">
      <w:pPr>
        <w:snapToGrid w:val="0"/>
        <w:spacing w:line="660" w:lineRule="exact"/>
        <w:jc w:val="center"/>
        <w:rPr>
          <w:rFonts w:ascii="Times New Roman" w:hAnsi="Times New Roman" w:eastAsia="黑体" w:cs="Times New Roman"/>
          <w:sz w:val="36"/>
          <w:szCs w:val="36"/>
        </w:rPr>
      </w:pPr>
      <w:r>
        <w:rPr>
          <w:rFonts w:hint="eastAsia" w:ascii="Times New Roman" w:hAnsi="Times New Roman" w:eastAsia="黑体" w:cs="Times New Roman"/>
          <w:sz w:val="36"/>
          <w:szCs w:val="36"/>
        </w:rPr>
        <w:t>洛隆县</w:t>
      </w:r>
      <w:r>
        <w:rPr>
          <w:rFonts w:ascii="Times New Roman" w:hAnsi="Times New Roman" w:eastAsia="黑体" w:cs="Times New Roman"/>
          <w:sz w:val="36"/>
          <w:szCs w:val="36"/>
        </w:rPr>
        <w:t>人民政府</w:t>
      </w:r>
    </w:p>
    <w:p w14:paraId="2DFA964A">
      <w:pPr>
        <w:snapToGrid w:val="0"/>
        <w:spacing w:line="660" w:lineRule="exact"/>
        <w:jc w:val="center"/>
        <w:rPr>
          <w:rFonts w:ascii="Times New Roman" w:hAnsi="Times New Roman" w:eastAsia="黑体" w:cs="Times New Roman"/>
          <w:sz w:val="36"/>
          <w:szCs w:val="36"/>
        </w:rPr>
      </w:pPr>
      <w:r>
        <w:rPr>
          <w:rFonts w:ascii="Times New Roman" w:hAnsi="Times New Roman" w:eastAsia="黑体" w:cs="Times New Roman"/>
          <w:sz w:val="36"/>
          <w:szCs w:val="36"/>
        </w:rPr>
        <w:t>二</w:t>
      </w:r>
      <w:r>
        <w:rPr>
          <w:rFonts w:hint="eastAsia" w:ascii="Times New Roman" w:hAnsi="Times New Roman" w:eastAsia="黑体" w:cs="Times New Roman"/>
          <w:sz w:val="36"/>
          <w:szCs w:val="36"/>
        </w:rPr>
        <w:t>〇</w:t>
      </w:r>
      <w:r>
        <w:rPr>
          <w:rFonts w:ascii="Times New Roman" w:hAnsi="Times New Roman" w:eastAsia="黑体" w:cs="Times New Roman"/>
          <w:sz w:val="36"/>
          <w:szCs w:val="36"/>
        </w:rPr>
        <w:t>二</w:t>
      </w:r>
      <w:r>
        <w:rPr>
          <w:rFonts w:hint="eastAsia" w:ascii="Times New Roman" w:hAnsi="Times New Roman" w:eastAsia="黑体" w:cs="Times New Roman"/>
          <w:sz w:val="36"/>
          <w:szCs w:val="36"/>
        </w:rPr>
        <w:t>二</w:t>
      </w:r>
      <w:r>
        <w:rPr>
          <w:rFonts w:ascii="Times New Roman" w:hAnsi="Times New Roman" w:eastAsia="黑体" w:cs="Times New Roman"/>
          <w:sz w:val="36"/>
          <w:szCs w:val="36"/>
        </w:rPr>
        <w:t>年</w:t>
      </w:r>
      <w:r>
        <w:rPr>
          <w:rFonts w:hint="eastAsia" w:ascii="Times New Roman" w:hAnsi="Times New Roman" w:eastAsia="黑体" w:cs="Times New Roman"/>
          <w:sz w:val="36"/>
          <w:szCs w:val="36"/>
        </w:rPr>
        <w:t>七</w:t>
      </w:r>
      <w:r>
        <w:rPr>
          <w:rFonts w:ascii="Times New Roman" w:hAnsi="Times New Roman" w:eastAsia="黑体" w:cs="Times New Roman"/>
          <w:sz w:val="36"/>
          <w:szCs w:val="36"/>
        </w:rPr>
        <w:t>月</w:t>
      </w:r>
    </w:p>
    <w:p w14:paraId="60B1D325">
      <w:pPr>
        <w:widowControl/>
        <w:spacing w:line="580" w:lineRule="exact"/>
        <w:jc w:val="center"/>
        <w:rPr>
          <w:rFonts w:ascii="Times New Roman" w:hAnsi="Times New Roman" w:eastAsia="黑体" w:cs="Times New Roman"/>
          <w:sz w:val="36"/>
          <w:szCs w:val="36"/>
        </w:rPr>
        <w:sectPr>
          <w:footerReference r:id="rId3" w:type="default"/>
          <w:pgSz w:w="11906" w:h="16838"/>
          <w:pgMar w:top="1440" w:right="1701" w:bottom="1440" w:left="1758" w:header="851" w:footer="992" w:gutter="0"/>
          <w:pgNumType w:fmt="upperRoman" w:start="1"/>
          <w:cols w:space="425" w:num="1"/>
          <w:docGrid w:type="linesAndChars" w:linePitch="312" w:charSpace="0"/>
        </w:sectPr>
      </w:pPr>
      <w:bookmarkStart w:id="0" w:name="_Hlk57882492"/>
    </w:p>
    <w:p w14:paraId="00413733">
      <w:pPr>
        <w:spacing w:line="580" w:lineRule="exact"/>
        <w:jc w:val="center"/>
        <w:rPr>
          <w:rFonts w:ascii="方正小标宋简体" w:eastAsia="方正小标宋简体" w:cs="Times New Roman"/>
          <w:sz w:val="44"/>
          <w:szCs w:val="44"/>
        </w:rPr>
      </w:pPr>
      <w:r>
        <w:rPr>
          <w:rFonts w:ascii="方正小标宋简体" w:eastAsia="方正小标宋简体" w:cs="Times New Roman"/>
          <w:sz w:val="44"/>
          <w:szCs w:val="44"/>
        </w:rPr>
        <w:t>昌都市</w:t>
      </w:r>
      <w:r>
        <w:rPr>
          <w:rFonts w:hint="eastAsia" w:ascii="方正小标宋简体" w:eastAsia="方正小标宋简体" w:cs="Times New Roman"/>
          <w:sz w:val="44"/>
          <w:szCs w:val="44"/>
        </w:rPr>
        <w:t>洛隆</w:t>
      </w:r>
      <w:r>
        <w:rPr>
          <w:rFonts w:ascii="方正小标宋简体" w:eastAsia="方正小标宋简体" w:cs="Times New Roman"/>
          <w:sz w:val="44"/>
          <w:szCs w:val="44"/>
        </w:rPr>
        <w:t>县西藏自治区</w:t>
      </w:r>
    </w:p>
    <w:p w14:paraId="60EF570C">
      <w:pPr>
        <w:spacing w:line="580" w:lineRule="exact"/>
        <w:jc w:val="center"/>
        <w:rPr>
          <w:rFonts w:ascii="方正小标宋简体" w:eastAsia="方正小标宋简体" w:cs="Times New Roman"/>
          <w:sz w:val="44"/>
          <w:szCs w:val="44"/>
        </w:rPr>
      </w:pPr>
      <w:r>
        <w:rPr>
          <w:rFonts w:ascii="方正小标宋简体" w:eastAsia="方正小标宋简体" w:cs="Times New Roman"/>
          <w:sz w:val="44"/>
          <w:szCs w:val="44"/>
        </w:rPr>
        <w:t>生态文明建设示范县创建领导小组名单</w:t>
      </w:r>
    </w:p>
    <w:p w14:paraId="58EB638D">
      <w:pPr>
        <w:adjustRightInd w:val="0"/>
        <w:snapToGrid w:val="0"/>
        <w:spacing w:before="100" w:beforeAutospacing="1" w:after="200"/>
        <w:ind w:firstLine="640"/>
        <w:jc w:val="center"/>
        <w:rPr>
          <w:rFonts w:eastAsia="黑体" w:cs="Times New Roman"/>
          <w:sz w:val="32"/>
          <w:szCs w:val="21"/>
        </w:rPr>
      </w:pPr>
    </w:p>
    <w:tbl>
      <w:tblPr>
        <w:tblStyle w:val="43"/>
        <w:tblW w:w="8779" w:type="dxa"/>
        <w:tblInd w:w="1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8"/>
        <w:gridCol w:w="1384"/>
        <w:gridCol w:w="6267"/>
      </w:tblGrid>
      <w:tr w14:paraId="1107A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1128" w:type="dxa"/>
            <w:vAlign w:val="center"/>
          </w:tcPr>
          <w:p w14:paraId="5956F3C9">
            <w:pPr>
              <w:jc w:val="center"/>
              <w:rPr>
                <w:rFonts w:ascii="仿宋_GB2312" w:hAnsi="黑体" w:eastAsia="仿宋_GB2312" w:cs="黑体"/>
                <w:sz w:val="28"/>
                <w:szCs w:val="28"/>
              </w:rPr>
            </w:pPr>
            <w:r>
              <w:rPr>
                <w:rFonts w:hint="eastAsia" w:ascii="仿宋_GB2312" w:hAnsi="黑体" w:eastAsia="仿宋_GB2312" w:cs="黑体"/>
                <w:sz w:val="28"/>
                <w:szCs w:val="28"/>
              </w:rPr>
              <w:t>组  长</w:t>
            </w:r>
          </w:p>
        </w:tc>
        <w:tc>
          <w:tcPr>
            <w:tcW w:w="1384" w:type="dxa"/>
            <w:vAlign w:val="center"/>
          </w:tcPr>
          <w:p w14:paraId="77D33E82">
            <w:pPr>
              <w:jc w:val="center"/>
              <w:rPr>
                <w:rFonts w:ascii="仿宋_GB2312" w:hAnsi="黑体" w:eastAsia="仿宋_GB2312" w:cs="黑体"/>
                <w:sz w:val="28"/>
                <w:szCs w:val="28"/>
              </w:rPr>
            </w:pPr>
            <w:r>
              <w:rPr>
                <w:rFonts w:hint="eastAsia" w:ascii="仿宋_GB2312" w:hAnsi="黑体" w:eastAsia="仿宋_GB2312" w:cs="黑体"/>
                <w:sz w:val="28"/>
                <w:szCs w:val="28"/>
              </w:rPr>
              <w:t>巴桑次仁</w:t>
            </w:r>
          </w:p>
        </w:tc>
        <w:tc>
          <w:tcPr>
            <w:tcW w:w="6267" w:type="dxa"/>
            <w:vAlign w:val="center"/>
          </w:tcPr>
          <w:p w14:paraId="7E11EEEB">
            <w:pPr>
              <w:jc w:val="left"/>
              <w:rPr>
                <w:rFonts w:ascii="仿宋_GB2312" w:hAnsi="黑体" w:eastAsia="仿宋_GB2312" w:cs="黑体"/>
                <w:sz w:val="28"/>
                <w:szCs w:val="28"/>
              </w:rPr>
            </w:pPr>
            <w:r>
              <w:rPr>
                <w:rFonts w:hint="eastAsia" w:ascii="仿宋_GB2312" w:hAnsi="黑体" w:eastAsia="仿宋_GB2312" w:cs="黑体"/>
                <w:sz w:val="28"/>
                <w:szCs w:val="28"/>
              </w:rPr>
              <w:t>县委副书记、县政府党组书记、县长</w:t>
            </w:r>
          </w:p>
        </w:tc>
      </w:tr>
      <w:tr w14:paraId="5C7F9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1128" w:type="dxa"/>
            <w:vMerge w:val="restart"/>
            <w:vAlign w:val="center"/>
          </w:tcPr>
          <w:p w14:paraId="6E27B752">
            <w:pPr>
              <w:jc w:val="center"/>
              <w:rPr>
                <w:rFonts w:ascii="仿宋_GB2312" w:hAnsi="黑体" w:eastAsia="仿宋_GB2312" w:cs="黑体"/>
                <w:sz w:val="28"/>
                <w:szCs w:val="28"/>
              </w:rPr>
            </w:pPr>
            <w:r>
              <w:rPr>
                <w:rFonts w:hint="eastAsia" w:ascii="仿宋_GB2312" w:hAnsi="黑体" w:eastAsia="仿宋_GB2312" w:cs="黑体"/>
                <w:sz w:val="28"/>
                <w:szCs w:val="28"/>
              </w:rPr>
              <w:t>副组长</w:t>
            </w:r>
          </w:p>
        </w:tc>
        <w:tc>
          <w:tcPr>
            <w:tcW w:w="1384" w:type="dxa"/>
            <w:vAlign w:val="center"/>
          </w:tcPr>
          <w:p w14:paraId="04B0B08A">
            <w:pPr>
              <w:jc w:val="center"/>
              <w:rPr>
                <w:rFonts w:ascii="仿宋_GB2312" w:hAnsi="黑体" w:eastAsia="仿宋_GB2312" w:cs="黑体"/>
                <w:sz w:val="28"/>
                <w:szCs w:val="28"/>
              </w:rPr>
            </w:pPr>
            <w:r>
              <w:rPr>
                <w:rFonts w:hint="eastAsia" w:ascii="仿宋_GB2312" w:hAnsi="黑体" w:eastAsia="仿宋_GB2312" w:cs="黑体"/>
                <w:sz w:val="28"/>
                <w:szCs w:val="28"/>
              </w:rPr>
              <w:t>王 志 强</w:t>
            </w:r>
          </w:p>
        </w:tc>
        <w:tc>
          <w:tcPr>
            <w:tcW w:w="6267" w:type="dxa"/>
            <w:vAlign w:val="center"/>
          </w:tcPr>
          <w:p w14:paraId="09715968">
            <w:pPr>
              <w:jc w:val="left"/>
              <w:rPr>
                <w:rFonts w:ascii="仿宋_GB2312" w:hAnsi="黑体" w:eastAsia="仿宋_GB2312" w:cs="黑体"/>
                <w:sz w:val="28"/>
                <w:szCs w:val="28"/>
              </w:rPr>
            </w:pPr>
            <w:r>
              <w:rPr>
                <w:rFonts w:hint="eastAsia" w:ascii="仿宋_GB2312" w:hAnsi="黑体" w:eastAsia="仿宋_GB2312" w:cs="黑体"/>
                <w:sz w:val="28"/>
                <w:szCs w:val="28"/>
              </w:rPr>
              <w:t>县委副书记、县政府党组副书记、政府常务副县长</w:t>
            </w:r>
          </w:p>
        </w:tc>
      </w:tr>
      <w:tr w14:paraId="50C64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1128" w:type="dxa"/>
            <w:vMerge w:val="continue"/>
            <w:vAlign w:val="center"/>
          </w:tcPr>
          <w:p w14:paraId="250CD0FD">
            <w:pPr>
              <w:jc w:val="center"/>
              <w:rPr>
                <w:rFonts w:ascii="仿宋_GB2312" w:hAnsi="黑体" w:eastAsia="仿宋_GB2312" w:cs="黑体"/>
                <w:sz w:val="28"/>
                <w:szCs w:val="28"/>
              </w:rPr>
            </w:pPr>
          </w:p>
        </w:tc>
        <w:tc>
          <w:tcPr>
            <w:tcW w:w="1384" w:type="dxa"/>
            <w:vAlign w:val="center"/>
          </w:tcPr>
          <w:p w14:paraId="77BA48BB">
            <w:pPr>
              <w:jc w:val="center"/>
              <w:rPr>
                <w:rFonts w:ascii="仿宋_GB2312" w:hAnsi="黑体" w:eastAsia="仿宋_GB2312" w:cs="黑体"/>
                <w:sz w:val="28"/>
                <w:szCs w:val="28"/>
              </w:rPr>
            </w:pPr>
            <w:r>
              <w:rPr>
                <w:rFonts w:hint="eastAsia" w:ascii="仿宋_GB2312" w:hAnsi="黑体" w:eastAsia="仿宋_GB2312" w:cs="黑体"/>
                <w:sz w:val="28"/>
                <w:szCs w:val="28"/>
              </w:rPr>
              <w:t>罗布江村</w:t>
            </w:r>
          </w:p>
        </w:tc>
        <w:tc>
          <w:tcPr>
            <w:tcW w:w="6267" w:type="dxa"/>
            <w:vAlign w:val="center"/>
          </w:tcPr>
          <w:p w14:paraId="4085316F">
            <w:pPr>
              <w:jc w:val="left"/>
              <w:rPr>
                <w:rFonts w:ascii="仿宋_GB2312" w:hAnsi="黑体" w:eastAsia="仿宋_GB2312" w:cs="黑体"/>
                <w:sz w:val="28"/>
                <w:szCs w:val="28"/>
              </w:rPr>
            </w:pPr>
            <w:r>
              <w:rPr>
                <w:rFonts w:hint="eastAsia" w:ascii="仿宋_GB2312" w:hAnsi="黑体" w:eastAsia="仿宋_GB2312" w:cs="黑体"/>
                <w:sz w:val="28"/>
                <w:szCs w:val="28"/>
              </w:rPr>
              <w:t>县委副书记</w:t>
            </w:r>
          </w:p>
        </w:tc>
      </w:tr>
      <w:tr w14:paraId="1D87B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128" w:type="dxa"/>
            <w:vMerge w:val="continue"/>
            <w:vAlign w:val="center"/>
          </w:tcPr>
          <w:p w14:paraId="60AFB06A">
            <w:pPr>
              <w:jc w:val="center"/>
              <w:rPr>
                <w:rFonts w:ascii="仿宋_GB2312" w:hAnsi="黑体" w:eastAsia="仿宋_GB2312" w:cs="黑体"/>
                <w:sz w:val="28"/>
                <w:szCs w:val="28"/>
              </w:rPr>
            </w:pPr>
          </w:p>
        </w:tc>
        <w:tc>
          <w:tcPr>
            <w:tcW w:w="1384" w:type="dxa"/>
            <w:vAlign w:val="center"/>
          </w:tcPr>
          <w:p w14:paraId="4F0FAD18">
            <w:pPr>
              <w:jc w:val="center"/>
              <w:rPr>
                <w:rFonts w:ascii="仿宋_GB2312" w:hAnsi="黑体" w:eastAsia="仿宋_GB2312" w:cs="黑体"/>
                <w:sz w:val="28"/>
                <w:szCs w:val="28"/>
              </w:rPr>
            </w:pPr>
            <w:r>
              <w:rPr>
                <w:rFonts w:hint="eastAsia" w:ascii="仿宋_GB2312" w:hAnsi="黑体" w:eastAsia="仿宋_GB2312" w:cs="黑体"/>
                <w:sz w:val="28"/>
                <w:szCs w:val="28"/>
              </w:rPr>
              <w:t>阿    春</w:t>
            </w:r>
          </w:p>
        </w:tc>
        <w:tc>
          <w:tcPr>
            <w:tcW w:w="6267" w:type="dxa"/>
            <w:vAlign w:val="center"/>
          </w:tcPr>
          <w:p w14:paraId="277062B6">
            <w:pPr>
              <w:jc w:val="left"/>
              <w:rPr>
                <w:rFonts w:ascii="仿宋_GB2312" w:hAnsi="黑体" w:eastAsia="仿宋_GB2312" w:cs="黑体"/>
                <w:sz w:val="28"/>
                <w:szCs w:val="28"/>
              </w:rPr>
            </w:pPr>
            <w:r>
              <w:rPr>
                <w:rFonts w:hint="eastAsia" w:ascii="仿宋_GB2312" w:hAnsi="黑体" w:eastAsia="仿宋_GB2312" w:cs="黑体"/>
                <w:sz w:val="28"/>
                <w:szCs w:val="28"/>
              </w:rPr>
              <w:t>县委常委、宣传部部长</w:t>
            </w:r>
          </w:p>
        </w:tc>
      </w:tr>
      <w:tr w14:paraId="65728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1128" w:type="dxa"/>
            <w:vMerge w:val="continue"/>
            <w:vAlign w:val="center"/>
          </w:tcPr>
          <w:p w14:paraId="7A77435D">
            <w:pPr>
              <w:jc w:val="center"/>
              <w:rPr>
                <w:rFonts w:ascii="仿宋_GB2312" w:hAnsi="黑体" w:eastAsia="仿宋_GB2312" w:cs="黑体"/>
                <w:sz w:val="28"/>
                <w:szCs w:val="28"/>
              </w:rPr>
            </w:pPr>
          </w:p>
        </w:tc>
        <w:tc>
          <w:tcPr>
            <w:tcW w:w="1384" w:type="dxa"/>
            <w:vAlign w:val="center"/>
          </w:tcPr>
          <w:p w14:paraId="4C603C0C">
            <w:pPr>
              <w:jc w:val="center"/>
              <w:rPr>
                <w:rFonts w:ascii="仿宋_GB2312" w:hAnsi="黑体" w:eastAsia="仿宋_GB2312" w:cs="黑体"/>
                <w:sz w:val="28"/>
                <w:szCs w:val="28"/>
              </w:rPr>
            </w:pPr>
            <w:r>
              <w:rPr>
                <w:rFonts w:hint="eastAsia" w:ascii="仿宋_GB2312" w:hAnsi="黑体" w:eastAsia="仿宋_GB2312" w:cs="黑体"/>
                <w:sz w:val="28"/>
                <w:szCs w:val="28"/>
              </w:rPr>
              <w:t>沈 晓 斌</w:t>
            </w:r>
          </w:p>
        </w:tc>
        <w:tc>
          <w:tcPr>
            <w:tcW w:w="6267" w:type="dxa"/>
            <w:vAlign w:val="center"/>
          </w:tcPr>
          <w:p w14:paraId="22EC7C8A">
            <w:pPr>
              <w:jc w:val="left"/>
              <w:rPr>
                <w:rFonts w:ascii="仿宋_GB2312" w:hAnsi="黑体" w:eastAsia="仿宋_GB2312" w:cs="黑体"/>
                <w:sz w:val="28"/>
                <w:szCs w:val="28"/>
              </w:rPr>
            </w:pPr>
            <w:r>
              <w:rPr>
                <w:rFonts w:hint="eastAsia" w:ascii="仿宋_GB2312" w:hAnsi="黑体" w:eastAsia="仿宋_GB2312" w:cs="黑体"/>
                <w:sz w:val="28"/>
                <w:szCs w:val="28"/>
              </w:rPr>
              <w:t>县委常委、县政府党组副书记、政府常务副县长</w:t>
            </w:r>
          </w:p>
        </w:tc>
      </w:tr>
      <w:tr w14:paraId="6EEEF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1128" w:type="dxa"/>
            <w:vMerge w:val="continue"/>
            <w:vAlign w:val="center"/>
          </w:tcPr>
          <w:p w14:paraId="76CBF2D3">
            <w:pPr>
              <w:jc w:val="center"/>
              <w:rPr>
                <w:rFonts w:ascii="仿宋_GB2312" w:hAnsi="黑体" w:eastAsia="仿宋_GB2312" w:cs="黑体"/>
                <w:sz w:val="28"/>
                <w:szCs w:val="28"/>
              </w:rPr>
            </w:pPr>
          </w:p>
        </w:tc>
        <w:tc>
          <w:tcPr>
            <w:tcW w:w="1384" w:type="dxa"/>
            <w:vAlign w:val="center"/>
          </w:tcPr>
          <w:p w14:paraId="092F8A95">
            <w:pPr>
              <w:jc w:val="center"/>
              <w:rPr>
                <w:rFonts w:ascii="仿宋_GB2312" w:hAnsi="黑体" w:eastAsia="仿宋_GB2312" w:cs="黑体"/>
                <w:sz w:val="28"/>
                <w:szCs w:val="28"/>
              </w:rPr>
            </w:pPr>
            <w:r>
              <w:rPr>
                <w:rFonts w:hint="eastAsia" w:ascii="仿宋_GB2312" w:hAnsi="黑体" w:eastAsia="仿宋_GB2312" w:cs="黑体"/>
                <w:sz w:val="28"/>
                <w:szCs w:val="28"/>
              </w:rPr>
              <w:t>胡    桅</w:t>
            </w:r>
          </w:p>
        </w:tc>
        <w:tc>
          <w:tcPr>
            <w:tcW w:w="6267" w:type="dxa"/>
            <w:vAlign w:val="center"/>
          </w:tcPr>
          <w:p w14:paraId="7FE42867">
            <w:pPr>
              <w:jc w:val="left"/>
              <w:rPr>
                <w:rFonts w:ascii="仿宋_GB2312" w:hAnsi="黑体" w:eastAsia="仿宋_GB2312" w:cs="黑体"/>
                <w:sz w:val="28"/>
                <w:szCs w:val="28"/>
              </w:rPr>
            </w:pPr>
            <w:r>
              <w:rPr>
                <w:rFonts w:hint="eastAsia" w:ascii="仿宋_GB2312" w:hAnsi="黑体" w:eastAsia="仿宋_GB2312" w:cs="黑体"/>
                <w:sz w:val="28"/>
                <w:szCs w:val="28"/>
              </w:rPr>
              <w:t>县委常委、县政府党组副书记、政府常务副县长</w:t>
            </w:r>
          </w:p>
        </w:tc>
      </w:tr>
      <w:tr w14:paraId="62F92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1128" w:type="dxa"/>
            <w:vMerge w:val="continue"/>
            <w:vAlign w:val="center"/>
          </w:tcPr>
          <w:p w14:paraId="5FEF0878">
            <w:pPr>
              <w:jc w:val="center"/>
              <w:rPr>
                <w:rFonts w:ascii="仿宋_GB2312" w:hAnsi="黑体" w:eastAsia="仿宋_GB2312" w:cs="黑体"/>
                <w:sz w:val="28"/>
                <w:szCs w:val="28"/>
              </w:rPr>
            </w:pPr>
          </w:p>
        </w:tc>
        <w:tc>
          <w:tcPr>
            <w:tcW w:w="1384" w:type="dxa"/>
            <w:vAlign w:val="center"/>
          </w:tcPr>
          <w:p w14:paraId="7024E032">
            <w:pPr>
              <w:jc w:val="center"/>
              <w:rPr>
                <w:rFonts w:ascii="仿宋_GB2312" w:hAnsi="黑体" w:eastAsia="仿宋_GB2312" w:cs="黑体"/>
                <w:sz w:val="28"/>
                <w:szCs w:val="28"/>
              </w:rPr>
            </w:pPr>
            <w:r>
              <w:rPr>
                <w:rFonts w:hint="eastAsia" w:ascii="仿宋_GB2312" w:hAnsi="黑体" w:eastAsia="仿宋_GB2312" w:cs="黑体"/>
                <w:sz w:val="28"/>
                <w:szCs w:val="28"/>
              </w:rPr>
              <w:t>杨 朔 强</w:t>
            </w:r>
          </w:p>
        </w:tc>
        <w:tc>
          <w:tcPr>
            <w:tcW w:w="6267" w:type="dxa"/>
            <w:vAlign w:val="center"/>
          </w:tcPr>
          <w:p w14:paraId="51B9E0FD">
            <w:pPr>
              <w:jc w:val="left"/>
              <w:rPr>
                <w:rFonts w:ascii="仿宋_GB2312" w:hAnsi="黑体" w:eastAsia="仿宋_GB2312" w:cs="黑体"/>
                <w:sz w:val="28"/>
                <w:szCs w:val="28"/>
              </w:rPr>
            </w:pPr>
            <w:r>
              <w:rPr>
                <w:rFonts w:hint="eastAsia" w:ascii="仿宋_GB2312" w:hAnsi="黑体" w:eastAsia="仿宋_GB2312" w:cs="黑体"/>
                <w:sz w:val="28"/>
                <w:szCs w:val="28"/>
              </w:rPr>
              <w:t>县委常委、统战部部长、县政协党组副书记</w:t>
            </w:r>
          </w:p>
        </w:tc>
      </w:tr>
      <w:tr w14:paraId="7ADCA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1128" w:type="dxa"/>
            <w:vMerge w:val="continue"/>
            <w:vAlign w:val="center"/>
          </w:tcPr>
          <w:p w14:paraId="0BB7C499">
            <w:pPr>
              <w:jc w:val="center"/>
              <w:rPr>
                <w:rFonts w:ascii="仿宋_GB2312" w:hAnsi="黑体" w:eastAsia="仿宋_GB2312" w:cs="黑体"/>
                <w:sz w:val="28"/>
                <w:szCs w:val="28"/>
              </w:rPr>
            </w:pPr>
          </w:p>
        </w:tc>
        <w:tc>
          <w:tcPr>
            <w:tcW w:w="1384" w:type="dxa"/>
            <w:vAlign w:val="center"/>
          </w:tcPr>
          <w:p w14:paraId="23FDCE51">
            <w:pPr>
              <w:jc w:val="center"/>
              <w:rPr>
                <w:rFonts w:ascii="仿宋_GB2312" w:hAnsi="黑体" w:eastAsia="仿宋_GB2312" w:cs="黑体"/>
                <w:sz w:val="28"/>
                <w:szCs w:val="28"/>
              </w:rPr>
            </w:pPr>
            <w:r>
              <w:rPr>
                <w:rFonts w:hint="eastAsia" w:ascii="仿宋_GB2312" w:hAnsi="黑体" w:eastAsia="仿宋_GB2312" w:cs="黑体"/>
                <w:sz w:val="28"/>
                <w:szCs w:val="28"/>
              </w:rPr>
              <w:t>龚 生 全</w:t>
            </w:r>
          </w:p>
        </w:tc>
        <w:tc>
          <w:tcPr>
            <w:tcW w:w="6267" w:type="dxa"/>
            <w:vAlign w:val="center"/>
          </w:tcPr>
          <w:p w14:paraId="5AE0BDC2">
            <w:pPr>
              <w:jc w:val="left"/>
              <w:rPr>
                <w:rFonts w:ascii="仿宋_GB2312" w:hAnsi="黑体" w:eastAsia="仿宋_GB2312" w:cs="黑体"/>
                <w:sz w:val="28"/>
                <w:szCs w:val="28"/>
              </w:rPr>
            </w:pPr>
            <w:r>
              <w:rPr>
                <w:rFonts w:hint="eastAsia" w:ascii="仿宋_GB2312" w:hAnsi="黑体" w:eastAsia="仿宋_GB2312" w:cs="黑体"/>
                <w:sz w:val="28"/>
                <w:szCs w:val="28"/>
              </w:rPr>
              <w:t>县委常委、组织部部长</w:t>
            </w:r>
          </w:p>
        </w:tc>
      </w:tr>
      <w:tr w14:paraId="28C82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1128" w:type="dxa"/>
            <w:vMerge w:val="continue"/>
            <w:vAlign w:val="center"/>
          </w:tcPr>
          <w:p w14:paraId="7F1EEAA4">
            <w:pPr>
              <w:jc w:val="center"/>
              <w:rPr>
                <w:rFonts w:ascii="仿宋_GB2312" w:hAnsi="黑体" w:eastAsia="仿宋_GB2312" w:cs="黑体"/>
                <w:sz w:val="28"/>
                <w:szCs w:val="28"/>
              </w:rPr>
            </w:pPr>
          </w:p>
        </w:tc>
        <w:tc>
          <w:tcPr>
            <w:tcW w:w="1384" w:type="dxa"/>
            <w:vAlign w:val="center"/>
          </w:tcPr>
          <w:p w14:paraId="601C91E2">
            <w:pPr>
              <w:jc w:val="center"/>
              <w:rPr>
                <w:rFonts w:ascii="仿宋_GB2312" w:hAnsi="黑体" w:eastAsia="仿宋_GB2312" w:cs="黑体"/>
                <w:sz w:val="28"/>
                <w:szCs w:val="28"/>
              </w:rPr>
            </w:pPr>
            <w:r>
              <w:rPr>
                <w:rFonts w:hint="eastAsia" w:ascii="仿宋_GB2312" w:hAnsi="黑体" w:eastAsia="仿宋_GB2312" w:cs="黑体"/>
                <w:sz w:val="28"/>
                <w:szCs w:val="28"/>
              </w:rPr>
              <w:t>欧    珠</w:t>
            </w:r>
          </w:p>
        </w:tc>
        <w:tc>
          <w:tcPr>
            <w:tcW w:w="6267" w:type="dxa"/>
            <w:vAlign w:val="center"/>
          </w:tcPr>
          <w:p w14:paraId="43157221">
            <w:pPr>
              <w:jc w:val="left"/>
              <w:rPr>
                <w:rFonts w:ascii="仿宋_GB2312" w:hAnsi="黑体" w:eastAsia="仿宋_GB2312" w:cs="黑体"/>
                <w:sz w:val="28"/>
                <w:szCs w:val="28"/>
              </w:rPr>
            </w:pPr>
            <w:r>
              <w:rPr>
                <w:rFonts w:hint="eastAsia" w:ascii="仿宋_GB2312" w:hAnsi="黑体" w:eastAsia="仿宋_GB2312" w:cs="黑体"/>
                <w:sz w:val="28"/>
                <w:szCs w:val="28"/>
              </w:rPr>
              <w:t>县委常委、县政府党组副书记、政府副县长</w:t>
            </w:r>
          </w:p>
        </w:tc>
      </w:tr>
      <w:tr w14:paraId="41676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1128" w:type="dxa"/>
            <w:vMerge w:val="continue"/>
            <w:vAlign w:val="center"/>
          </w:tcPr>
          <w:p w14:paraId="225E87DB">
            <w:pPr>
              <w:jc w:val="center"/>
              <w:rPr>
                <w:rFonts w:ascii="仿宋_GB2312" w:hAnsi="黑体" w:eastAsia="仿宋_GB2312" w:cs="黑体"/>
                <w:sz w:val="28"/>
                <w:szCs w:val="28"/>
              </w:rPr>
            </w:pPr>
          </w:p>
        </w:tc>
        <w:tc>
          <w:tcPr>
            <w:tcW w:w="1384" w:type="dxa"/>
            <w:vAlign w:val="center"/>
          </w:tcPr>
          <w:p w14:paraId="1F8E9FFF">
            <w:pPr>
              <w:jc w:val="center"/>
              <w:rPr>
                <w:rFonts w:ascii="仿宋_GB2312" w:hAnsi="黑体" w:eastAsia="仿宋_GB2312" w:cs="黑体"/>
                <w:sz w:val="28"/>
                <w:szCs w:val="28"/>
              </w:rPr>
            </w:pPr>
            <w:r>
              <w:rPr>
                <w:rFonts w:hint="eastAsia" w:ascii="仿宋_GB2312" w:hAnsi="黑体" w:eastAsia="仿宋_GB2312" w:cs="黑体"/>
                <w:sz w:val="28"/>
                <w:szCs w:val="28"/>
              </w:rPr>
              <w:t>何 志 林</w:t>
            </w:r>
          </w:p>
        </w:tc>
        <w:tc>
          <w:tcPr>
            <w:tcW w:w="6267" w:type="dxa"/>
            <w:vAlign w:val="center"/>
          </w:tcPr>
          <w:p w14:paraId="3D9CBF65">
            <w:pPr>
              <w:jc w:val="left"/>
              <w:rPr>
                <w:rFonts w:ascii="仿宋_GB2312" w:hAnsi="黑体" w:eastAsia="仿宋_GB2312" w:cs="黑体"/>
                <w:sz w:val="28"/>
                <w:szCs w:val="28"/>
              </w:rPr>
            </w:pPr>
            <w:r>
              <w:rPr>
                <w:rFonts w:hint="eastAsia" w:ascii="仿宋_GB2312" w:hAnsi="黑体" w:eastAsia="仿宋_GB2312" w:cs="黑体"/>
                <w:sz w:val="28"/>
                <w:szCs w:val="28"/>
              </w:rPr>
              <w:t>县委常委、政法委书记、公安局党委书记、局长、督察长</w:t>
            </w:r>
          </w:p>
        </w:tc>
      </w:tr>
      <w:tr w14:paraId="7EB74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1128" w:type="dxa"/>
            <w:vMerge w:val="continue"/>
            <w:vAlign w:val="center"/>
          </w:tcPr>
          <w:p w14:paraId="3666CEF7">
            <w:pPr>
              <w:jc w:val="center"/>
              <w:rPr>
                <w:rFonts w:ascii="仿宋_GB2312" w:hAnsi="黑体" w:eastAsia="仿宋_GB2312" w:cs="黑体"/>
                <w:sz w:val="28"/>
                <w:szCs w:val="28"/>
              </w:rPr>
            </w:pPr>
          </w:p>
        </w:tc>
        <w:tc>
          <w:tcPr>
            <w:tcW w:w="1384" w:type="dxa"/>
            <w:vAlign w:val="center"/>
          </w:tcPr>
          <w:p w14:paraId="211EB6A5">
            <w:pPr>
              <w:jc w:val="center"/>
              <w:rPr>
                <w:rFonts w:ascii="仿宋_GB2312" w:hAnsi="黑体" w:eastAsia="仿宋_GB2312" w:cs="黑体"/>
                <w:sz w:val="28"/>
                <w:szCs w:val="28"/>
              </w:rPr>
            </w:pPr>
            <w:r>
              <w:rPr>
                <w:rFonts w:hint="eastAsia" w:ascii="仿宋_GB2312" w:hAnsi="黑体" w:eastAsia="仿宋_GB2312" w:cs="黑体"/>
                <w:sz w:val="28"/>
                <w:szCs w:val="28"/>
              </w:rPr>
              <w:t>王 金 星</w:t>
            </w:r>
          </w:p>
        </w:tc>
        <w:tc>
          <w:tcPr>
            <w:tcW w:w="6267" w:type="dxa"/>
            <w:vAlign w:val="center"/>
          </w:tcPr>
          <w:p w14:paraId="32519469">
            <w:pPr>
              <w:jc w:val="left"/>
              <w:rPr>
                <w:rFonts w:ascii="仿宋_GB2312" w:hAnsi="黑体" w:eastAsia="仿宋_GB2312" w:cs="黑体"/>
                <w:sz w:val="28"/>
                <w:szCs w:val="28"/>
              </w:rPr>
            </w:pPr>
            <w:r>
              <w:rPr>
                <w:rFonts w:hint="eastAsia" w:ascii="仿宋_GB2312" w:hAnsi="黑体" w:eastAsia="仿宋_GB2312" w:cs="黑体"/>
                <w:sz w:val="28"/>
                <w:szCs w:val="28"/>
              </w:rPr>
              <w:t>县政府党组成员、副县长</w:t>
            </w:r>
          </w:p>
        </w:tc>
      </w:tr>
      <w:tr w14:paraId="212C6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1128" w:type="dxa"/>
            <w:vMerge w:val="continue"/>
            <w:vAlign w:val="center"/>
          </w:tcPr>
          <w:p w14:paraId="589FA5C4">
            <w:pPr>
              <w:jc w:val="center"/>
              <w:rPr>
                <w:rFonts w:ascii="仿宋_GB2312" w:hAnsi="黑体" w:eastAsia="仿宋_GB2312" w:cs="黑体"/>
                <w:sz w:val="28"/>
                <w:szCs w:val="28"/>
              </w:rPr>
            </w:pPr>
          </w:p>
        </w:tc>
        <w:tc>
          <w:tcPr>
            <w:tcW w:w="1384" w:type="dxa"/>
            <w:vAlign w:val="center"/>
          </w:tcPr>
          <w:p w14:paraId="7FA72518">
            <w:pPr>
              <w:jc w:val="center"/>
              <w:rPr>
                <w:rFonts w:ascii="仿宋_GB2312" w:hAnsi="黑体" w:eastAsia="仿宋_GB2312" w:cs="黑体"/>
                <w:sz w:val="28"/>
                <w:szCs w:val="28"/>
              </w:rPr>
            </w:pPr>
            <w:r>
              <w:rPr>
                <w:rFonts w:hint="eastAsia" w:ascii="仿宋_GB2312" w:hAnsi="黑体" w:eastAsia="仿宋_GB2312" w:cs="黑体"/>
                <w:sz w:val="28"/>
                <w:szCs w:val="28"/>
              </w:rPr>
              <w:t>巴    桑</w:t>
            </w:r>
          </w:p>
        </w:tc>
        <w:tc>
          <w:tcPr>
            <w:tcW w:w="6267" w:type="dxa"/>
            <w:vAlign w:val="center"/>
          </w:tcPr>
          <w:p w14:paraId="4A470234">
            <w:pPr>
              <w:jc w:val="left"/>
              <w:rPr>
                <w:rFonts w:ascii="仿宋_GB2312" w:hAnsi="黑体" w:eastAsia="仿宋_GB2312" w:cs="黑体"/>
                <w:sz w:val="28"/>
                <w:szCs w:val="28"/>
              </w:rPr>
            </w:pPr>
            <w:r>
              <w:rPr>
                <w:rFonts w:hint="eastAsia" w:ascii="仿宋_GB2312" w:hAnsi="黑体" w:eastAsia="仿宋_GB2312" w:cs="黑体"/>
                <w:sz w:val="28"/>
                <w:szCs w:val="28"/>
              </w:rPr>
              <w:t>县政府党组成员、副县长</w:t>
            </w:r>
          </w:p>
        </w:tc>
      </w:tr>
      <w:tr w14:paraId="55AC8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1128" w:type="dxa"/>
            <w:vMerge w:val="restart"/>
            <w:vAlign w:val="center"/>
          </w:tcPr>
          <w:p w14:paraId="3EADF86F">
            <w:pPr>
              <w:jc w:val="center"/>
              <w:rPr>
                <w:rFonts w:ascii="仿宋_GB2312" w:hAnsi="黑体" w:eastAsia="仿宋_GB2312" w:cs="黑体"/>
                <w:sz w:val="28"/>
                <w:szCs w:val="28"/>
              </w:rPr>
            </w:pPr>
            <w:r>
              <w:rPr>
                <w:rFonts w:hint="eastAsia" w:ascii="仿宋_GB2312" w:hAnsi="黑体" w:eastAsia="仿宋_GB2312" w:cs="黑体"/>
                <w:sz w:val="28"/>
                <w:szCs w:val="28"/>
              </w:rPr>
              <w:t>副组长</w:t>
            </w:r>
          </w:p>
        </w:tc>
        <w:tc>
          <w:tcPr>
            <w:tcW w:w="1384" w:type="dxa"/>
            <w:vAlign w:val="center"/>
          </w:tcPr>
          <w:p w14:paraId="33208853">
            <w:pPr>
              <w:jc w:val="center"/>
              <w:rPr>
                <w:rFonts w:ascii="仿宋_GB2312" w:hAnsi="黑体" w:eastAsia="仿宋_GB2312" w:cs="黑体"/>
                <w:sz w:val="28"/>
                <w:szCs w:val="28"/>
              </w:rPr>
            </w:pPr>
            <w:r>
              <w:rPr>
                <w:rFonts w:hint="eastAsia" w:ascii="仿宋_GB2312" w:hAnsi="黑体" w:eastAsia="仿宋_GB2312" w:cs="黑体"/>
                <w:sz w:val="28"/>
                <w:szCs w:val="28"/>
              </w:rPr>
              <w:t>泽旺扎西</w:t>
            </w:r>
          </w:p>
        </w:tc>
        <w:tc>
          <w:tcPr>
            <w:tcW w:w="6267" w:type="dxa"/>
            <w:vAlign w:val="center"/>
          </w:tcPr>
          <w:p w14:paraId="021AB55E">
            <w:pPr>
              <w:jc w:val="left"/>
              <w:rPr>
                <w:rFonts w:ascii="仿宋_GB2312" w:hAnsi="黑体" w:eastAsia="仿宋_GB2312" w:cs="黑体"/>
                <w:sz w:val="28"/>
                <w:szCs w:val="28"/>
              </w:rPr>
            </w:pPr>
            <w:r>
              <w:rPr>
                <w:rFonts w:hint="eastAsia" w:ascii="仿宋_GB2312" w:hAnsi="黑体" w:eastAsia="仿宋_GB2312" w:cs="黑体"/>
                <w:sz w:val="28"/>
                <w:szCs w:val="28"/>
              </w:rPr>
              <w:t>县政府党组成员、副县长</w:t>
            </w:r>
          </w:p>
        </w:tc>
      </w:tr>
      <w:tr w14:paraId="5BD80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1128" w:type="dxa"/>
            <w:vMerge w:val="continue"/>
            <w:vAlign w:val="center"/>
          </w:tcPr>
          <w:p w14:paraId="57157062">
            <w:pPr>
              <w:jc w:val="center"/>
              <w:rPr>
                <w:rFonts w:ascii="仿宋_GB2312" w:hAnsi="黑体" w:eastAsia="仿宋_GB2312" w:cs="黑体"/>
                <w:sz w:val="28"/>
                <w:szCs w:val="28"/>
              </w:rPr>
            </w:pPr>
          </w:p>
        </w:tc>
        <w:tc>
          <w:tcPr>
            <w:tcW w:w="1384" w:type="dxa"/>
            <w:vAlign w:val="center"/>
          </w:tcPr>
          <w:p w14:paraId="6C8555B0">
            <w:pPr>
              <w:jc w:val="center"/>
              <w:rPr>
                <w:rFonts w:ascii="仿宋_GB2312" w:hAnsi="黑体" w:eastAsia="仿宋_GB2312" w:cs="黑体"/>
                <w:sz w:val="28"/>
                <w:szCs w:val="28"/>
              </w:rPr>
            </w:pPr>
            <w:r>
              <w:rPr>
                <w:rFonts w:hint="eastAsia" w:ascii="仿宋_GB2312" w:hAnsi="黑体" w:eastAsia="仿宋_GB2312" w:cs="黑体"/>
                <w:sz w:val="28"/>
                <w:szCs w:val="28"/>
              </w:rPr>
              <w:t>马 德 光</w:t>
            </w:r>
          </w:p>
        </w:tc>
        <w:tc>
          <w:tcPr>
            <w:tcW w:w="6267" w:type="dxa"/>
            <w:vAlign w:val="center"/>
          </w:tcPr>
          <w:p w14:paraId="523524F7">
            <w:pPr>
              <w:jc w:val="left"/>
              <w:rPr>
                <w:rFonts w:ascii="仿宋_GB2312" w:hAnsi="黑体" w:eastAsia="仿宋_GB2312" w:cs="黑体"/>
                <w:sz w:val="28"/>
                <w:szCs w:val="28"/>
              </w:rPr>
            </w:pPr>
            <w:r>
              <w:rPr>
                <w:rFonts w:hint="eastAsia" w:ascii="仿宋_GB2312" w:hAnsi="黑体" w:eastAsia="仿宋_GB2312" w:cs="黑体"/>
                <w:sz w:val="28"/>
                <w:szCs w:val="28"/>
              </w:rPr>
              <w:t>县政府党组成员、副县长</w:t>
            </w:r>
          </w:p>
        </w:tc>
      </w:tr>
      <w:tr w14:paraId="2F664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1128" w:type="dxa"/>
            <w:vMerge w:val="continue"/>
            <w:vAlign w:val="center"/>
          </w:tcPr>
          <w:p w14:paraId="092F9F20">
            <w:pPr>
              <w:jc w:val="center"/>
              <w:rPr>
                <w:rFonts w:ascii="仿宋_GB2312" w:hAnsi="黑体" w:eastAsia="仿宋_GB2312" w:cs="黑体"/>
                <w:sz w:val="28"/>
                <w:szCs w:val="28"/>
              </w:rPr>
            </w:pPr>
          </w:p>
        </w:tc>
        <w:tc>
          <w:tcPr>
            <w:tcW w:w="1384" w:type="dxa"/>
            <w:vAlign w:val="center"/>
          </w:tcPr>
          <w:p w14:paraId="02F83EF5">
            <w:pPr>
              <w:jc w:val="center"/>
              <w:rPr>
                <w:rFonts w:ascii="仿宋_GB2312" w:hAnsi="黑体" w:eastAsia="仿宋_GB2312" w:cs="黑体"/>
                <w:sz w:val="28"/>
                <w:szCs w:val="28"/>
              </w:rPr>
            </w:pPr>
            <w:r>
              <w:rPr>
                <w:rFonts w:hint="eastAsia" w:ascii="仿宋_GB2312" w:hAnsi="黑体" w:eastAsia="仿宋_GB2312" w:cs="黑体"/>
                <w:sz w:val="28"/>
                <w:szCs w:val="28"/>
              </w:rPr>
              <w:t>王    燕</w:t>
            </w:r>
          </w:p>
        </w:tc>
        <w:tc>
          <w:tcPr>
            <w:tcW w:w="6267" w:type="dxa"/>
            <w:vAlign w:val="center"/>
          </w:tcPr>
          <w:p w14:paraId="0893F68D">
            <w:pPr>
              <w:jc w:val="left"/>
              <w:rPr>
                <w:rFonts w:ascii="仿宋_GB2312" w:hAnsi="黑体" w:eastAsia="仿宋_GB2312" w:cs="黑体"/>
                <w:sz w:val="28"/>
                <w:szCs w:val="28"/>
              </w:rPr>
            </w:pPr>
            <w:r>
              <w:rPr>
                <w:rFonts w:hint="eastAsia" w:ascii="仿宋_GB2312" w:hAnsi="黑体" w:eastAsia="仿宋_GB2312" w:cs="黑体"/>
                <w:sz w:val="28"/>
                <w:szCs w:val="28"/>
              </w:rPr>
              <w:t>县政府党组成员、副县长</w:t>
            </w:r>
          </w:p>
        </w:tc>
      </w:tr>
      <w:tr w14:paraId="3BC49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1128" w:type="dxa"/>
            <w:vMerge w:val="continue"/>
            <w:vAlign w:val="center"/>
          </w:tcPr>
          <w:p w14:paraId="0193C497">
            <w:pPr>
              <w:jc w:val="center"/>
              <w:rPr>
                <w:rFonts w:ascii="仿宋_GB2312" w:hAnsi="黑体" w:eastAsia="仿宋_GB2312" w:cs="黑体"/>
                <w:sz w:val="28"/>
                <w:szCs w:val="28"/>
              </w:rPr>
            </w:pPr>
          </w:p>
        </w:tc>
        <w:tc>
          <w:tcPr>
            <w:tcW w:w="1384" w:type="dxa"/>
            <w:vAlign w:val="center"/>
          </w:tcPr>
          <w:p w14:paraId="1CE982C0">
            <w:pPr>
              <w:jc w:val="center"/>
              <w:rPr>
                <w:rFonts w:ascii="仿宋_GB2312" w:hAnsi="黑体" w:eastAsia="仿宋_GB2312" w:cs="黑体"/>
                <w:sz w:val="28"/>
                <w:szCs w:val="28"/>
              </w:rPr>
            </w:pPr>
            <w:r>
              <w:rPr>
                <w:rFonts w:hint="eastAsia" w:ascii="仿宋_GB2312" w:hAnsi="黑体" w:eastAsia="仿宋_GB2312" w:cs="黑体"/>
                <w:sz w:val="28"/>
                <w:szCs w:val="28"/>
              </w:rPr>
              <w:t>李    林</w:t>
            </w:r>
          </w:p>
        </w:tc>
        <w:tc>
          <w:tcPr>
            <w:tcW w:w="6267" w:type="dxa"/>
            <w:vAlign w:val="center"/>
          </w:tcPr>
          <w:p w14:paraId="4549D030">
            <w:pPr>
              <w:jc w:val="left"/>
              <w:rPr>
                <w:rFonts w:ascii="仿宋_GB2312" w:hAnsi="黑体" w:eastAsia="仿宋_GB2312" w:cs="黑体"/>
                <w:sz w:val="28"/>
                <w:szCs w:val="28"/>
              </w:rPr>
            </w:pPr>
            <w:r>
              <w:rPr>
                <w:rFonts w:hint="eastAsia" w:ascii="仿宋_GB2312" w:hAnsi="黑体" w:eastAsia="仿宋_GB2312" w:cs="黑体"/>
                <w:sz w:val="28"/>
                <w:szCs w:val="28"/>
              </w:rPr>
              <w:t>县政府副县长</w:t>
            </w:r>
          </w:p>
        </w:tc>
      </w:tr>
      <w:tr w14:paraId="757C5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1128" w:type="dxa"/>
            <w:vMerge w:val="restart"/>
            <w:vAlign w:val="center"/>
          </w:tcPr>
          <w:p w14:paraId="7F52324D">
            <w:pPr>
              <w:jc w:val="center"/>
              <w:rPr>
                <w:rFonts w:ascii="仿宋_GB2312" w:hAnsi="黑体" w:eastAsia="仿宋_GB2312" w:cs="黑体"/>
                <w:sz w:val="28"/>
                <w:szCs w:val="28"/>
              </w:rPr>
            </w:pPr>
            <w:r>
              <w:rPr>
                <w:rFonts w:hint="eastAsia" w:ascii="仿宋_GB2312" w:hAnsi="黑体" w:eastAsia="仿宋_GB2312" w:cs="黑体"/>
                <w:sz w:val="28"/>
                <w:szCs w:val="28"/>
              </w:rPr>
              <w:t>成  员</w:t>
            </w:r>
          </w:p>
        </w:tc>
        <w:tc>
          <w:tcPr>
            <w:tcW w:w="1384" w:type="dxa"/>
            <w:vAlign w:val="center"/>
          </w:tcPr>
          <w:p w14:paraId="0F60A053">
            <w:pPr>
              <w:jc w:val="center"/>
              <w:rPr>
                <w:rFonts w:ascii="仿宋_GB2312" w:hAnsi="黑体" w:eastAsia="仿宋_GB2312" w:cs="黑体"/>
                <w:sz w:val="28"/>
                <w:szCs w:val="28"/>
              </w:rPr>
            </w:pPr>
            <w:r>
              <w:rPr>
                <w:rFonts w:hint="eastAsia" w:ascii="仿宋_GB2312" w:hAnsi="黑体" w:eastAsia="仿宋_GB2312" w:cs="黑体"/>
                <w:sz w:val="28"/>
                <w:szCs w:val="28"/>
              </w:rPr>
              <w:t>阿旺措姆</w:t>
            </w:r>
          </w:p>
        </w:tc>
        <w:tc>
          <w:tcPr>
            <w:tcW w:w="6267" w:type="dxa"/>
            <w:vAlign w:val="center"/>
          </w:tcPr>
          <w:p w14:paraId="08F33672">
            <w:pPr>
              <w:jc w:val="left"/>
              <w:rPr>
                <w:rFonts w:ascii="仿宋_GB2312" w:hAnsi="黑体" w:eastAsia="仿宋_GB2312" w:cs="黑体"/>
                <w:sz w:val="28"/>
                <w:szCs w:val="28"/>
              </w:rPr>
            </w:pPr>
            <w:r>
              <w:rPr>
                <w:rFonts w:hint="eastAsia" w:ascii="仿宋_GB2312" w:hAnsi="黑体" w:eastAsia="仿宋_GB2312" w:cs="黑体"/>
                <w:sz w:val="28"/>
                <w:szCs w:val="28"/>
              </w:rPr>
              <w:t>县委办副主任兼机要局局长</w:t>
            </w:r>
          </w:p>
        </w:tc>
      </w:tr>
      <w:tr w14:paraId="4CA23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1128" w:type="dxa"/>
            <w:vMerge w:val="continue"/>
            <w:vAlign w:val="center"/>
          </w:tcPr>
          <w:p w14:paraId="3F78B687">
            <w:pPr>
              <w:jc w:val="center"/>
              <w:rPr>
                <w:rFonts w:ascii="仿宋_GB2312" w:hAnsi="黑体" w:eastAsia="仿宋_GB2312" w:cs="黑体"/>
                <w:sz w:val="28"/>
                <w:szCs w:val="28"/>
              </w:rPr>
            </w:pPr>
          </w:p>
        </w:tc>
        <w:tc>
          <w:tcPr>
            <w:tcW w:w="1384" w:type="dxa"/>
            <w:vAlign w:val="center"/>
          </w:tcPr>
          <w:p w14:paraId="14FF3223">
            <w:pPr>
              <w:jc w:val="center"/>
              <w:rPr>
                <w:rFonts w:ascii="仿宋_GB2312" w:hAnsi="黑体" w:eastAsia="仿宋_GB2312" w:cs="黑体"/>
                <w:sz w:val="28"/>
                <w:szCs w:val="28"/>
              </w:rPr>
            </w:pPr>
            <w:r>
              <w:rPr>
                <w:rFonts w:hint="eastAsia" w:ascii="仿宋_GB2312" w:hAnsi="黑体" w:eastAsia="仿宋_GB2312" w:cs="黑体"/>
                <w:sz w:val="28"/>
                <w:szCs w:val="28"/>
              </w:rPr>
              <w:t>曹    鹏</w:t>
            </w:r>
          </w:p>
        </w:tc>
        <w:tc>
          <w:tcPr>
            <w:tcW w:w="6267" w:type="dxa"/>
            <w:vAlign w:val="center"/>
          </w:tcPr>
          <w:p w14:paraId="1D331B12">
            <w:pPr>
              <w:jc w:val="left"/>
              <w:rPr>
                <w:rFonts w:ascii="仿宋_GB2312" w:hAnsi="黑体" w:eastAsia="仿宋_GB2312" w:cs="黑体"/>
                <w:sz w:val="28"/>
                <w:szCs w:val="28"/>
              </w:rPr>
            </w:pPr>
            <w:r>
              <w:rPr>
                <w:rFonts w:hint="eastAsia" w:ascii="仿宋_GB2312" w:hAnsi="黑体" w:eastAsia="仿宋_GB2312" w:cs="黑体"/>
                <w:sz w:val="28"/>
                <w:szCs w:val="28"/>
              </w:rPr>
              <w:t>县政府办党组书记、主任</w:t>
            </w:r>
          </w:p>
        </w:tc>
      </w:tr>
      <w:tr w14:paraId="4AB11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1128" w:type="dxa"/>
            <w:vMerge w:val="continue"/>
            <w:vAlign w:val="center"/>
          </w:tcPr>
          <w:p w14:paraId="0634A7FE">
            <w:pPr>
              <w:jc w:val="center"/>
              <w:rPr>
                <w:rFonts w:ascii="仿宋_GB2312" w:hAnsi="黑体" w:eastAsia="仿宋_GB2312" w:cs="黑体"/>
                <w:sz w:val="28"/>
                <w:szCs w:val="28"/>
              </w:rPr>
            </w:pPr>
          </w:p>
        </w:tc>
        <w:tc>
          <w:tcPr>
            <w:tcW w:w="1384" w:type="dxa"/>
            <w:vAlign w:val="center"/>
          </w:tcPr>
          <w:p w14:paraId="2D1D5D84">
            <w:pPr>
              <w:jc w:val="center"/>
              <w:rPr>
                <w:rFonts w:ascii="仿宋_GB2312" w:hAnsi="黑体" w:eastAsia="仿宋_GB2312" w:cs="黑体"/>
                <w:sz w:val="28"/>
                <w:szCs w:val="28"/>
              </w:rPr>
            </w:pPr>
            <w:r>
              <w:rPr>
                <w:rFonts w:hint="eastAsia" w:ascii="仿宋_GB2312" w:hAnsi="黑体" w:eastAsia="仿宋_GB2312" w:cs="黑体"/>
                <w:sz w:val="28"/>
                <w:szCs w:val="28"/>
              </w:rPr>
              <w:t>陈    勇</w:t>
            </w:r>
          </w:p>
        </w:tc>
        <w:tc>
          <w:tcPr>
            <w:tcW w:w="6267" w:type="dxa"/>
            <w:vAlign w:val="center"/>
          </w:tcPr>
          <w:p w14:paraId="5A996B2A">
            <w:pPr>
              <w:jc w:val="left"/>
              <w:rPr>
                <w:rFonts w:ascii="仿宋_GB2312" w:hAnsi="黑体" w:eastAsia="仿宋_GB2312" w:cs="黑体"/>
                <w:sz w:val="28"/>
                <w:szCs w:val="28"/>
              </w:rPr>
            </w:pPr>
            <w:r>
              <w:rPr>
                <w:rFonts w:hint="eastAsia" w:ascii="仿宋_GB2312" w:hAnsi="黑体" w:eastAsia="仿宋_GB2312" w:cs="黑体"/>
                <w:sz w:val="28"/>
                <w:szCs w:val="28"/>
              </w:rPr>
              <w:t>县委组织部常务副部长</w:t>
            </w:r>
          </w:p>
        </w:tc>
      </w:tr>
      <w:tr w14:paraId="72CA3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1128" w:type="dxa"/>
            <w:vMerge w:val="continue"/>
            <w:vAlign w:val="center"/>
          </w:tcPr>
          <w:p w14:paraId="07F656B8">
            <w:pPr>
              <w:jc w:val="center"/>
              <w:rPr>
                <w:rFonts w:ascii="仿宋_GB2312" w:hAnsi="黑体" w:eastAsia="仿宋_GB2312" w:cs="黑体"/>
                <w:sz w:val="28"/>
                <w:szCs w:val="28"/>
              </w:rPr>
            </w:pPr>
          </w:p>
        </w:tc>
        <w:tc>
          <w:tcPr>
            <w:tcW w:w="1384" w:type="dxa"/>
            <w:vAlign w:val="center"/>
          </w:tcPr>
          <w:p w14:paraId="10697A95">
            <w:pPr>
              <w:jc w:val="center"/>
              <w:rPr>
                <w:rFonts w:ascii="仿宋_GB2312" w:hAnsi="黑体" w:eastAsia="仿宋_GB2312" w:cs="黑体"/>
                <w:sz w:val="28"/>
                <w:szCs w:val="28"/>
              </w:rPr>
            </w:pPr>
            <w:r>
              <w:rPr>
                <w:rFonts w:hint="eastAsia" w:ascii="仿宋_GB2312" w:hAnsi="黑体" w:eastAsia="仿宋_GB2312" w:cs="黑体"/>
                <w:sz w:val="28"/>
                <w:szCs w:val="28"/>
              </w:rPr>
              <w:t>吴 道 金</w:t>
            </w:r>
          </w:p>
        </w:tc>
        <w:tc>
          <w:tcPr>
            <w:tcW w:w="6267" w:type="dxa"/>
            <w:vAlign w:val="center"/>
          </w:tcPr>
          <w:p w14:paraId="39906046">
            <w:pPr>
              <w:jc w:val="left"/>
              <w:rPr>
                <w:rFonts w:ascii="仿宋_GB2312" w:hAnsi="黑体" w:eastAsia="仿宋_GB2312" w:cs="黑体"/>
                <w:sz w:val="28"/>
                <w:szCs w:val="28"/>
              </w:rPr>
            </w:pPr>
            <w:r>
              <w:rPr>
                <w:rFonts w:hint="eastAsia" w:ascii="仿宋_GB2312" w:hAnsi="黑体" w:eastAsia="仿宋_GB2312" w:cs="黑体"/>
                <w:sz w:val="28"/>
                <w:szCs w:val="28"/>
              </w:rPr>
              <w:t>县纪委副书记、监委副主任</w:t>
            </w:r>
          </w:p>
        </w:tc>
      </w:tr>
      <w:tr w14:paraId="7440D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1128" w:type="dxa"/>
            <w:vMerge w:val="continue"/>
            <w:vAlign w:val="center"/>
          </w:tcPr>
          <w:p w14:paraId="527226D7">
            <w:pPr>
              <w:jc w:val="center"/>
              <w:rPr>
                <w:rFonts w:ascii="仿宋_GB2312" w:hAnsi="黑体" w:eastAsia="仿宋_GB2312" w:cs="黑体"/>
                <w:sz w:val="28"/>
                <w:szCs w:val="28"/>
              </w:rPr>
            </w:pPr>
          </w:p>
        </w:tc>
        <w:tc>
          <w:tcPr>
            <w:tcW w:w="1384" w:type="dxa"/>
            <w:vAlign w:val="center"/>
          </w:tcPr>
          <w:p w14:paraId="0048F5D4">
            <w:pPr>
              <w:jc w:val="center"/>
              <w:rPr>
                <w:rFonts w:ascii="仿宋_GB2312" w:hAnsi="黑体" w:eastAsia="仿宋_GB2312" w:cs="黑体"/>
                <w:sz w:val="28"/>
                <w:szCs w:val="28"/>
              </w:rPr>
            </w:pPr>
            <w:r>
              <w:rPr>
                <w:rFonts w:hint="eastAsia" w:ascii="仿宋_GB2312" w:hAnsi="黑体" w:eastAsia="仿宋_GB2312" w:cs="黑体"/>
                <w:sz w:val="28"/>
                <w:szCs w:val="28"/>
              </w:rPr>
              <w:t>郭    金</w:t>
            </w:r>
          </w:p>
        </w:tc>
        <w:tc>
          <w:tcPr>
            <w:tcW w:w="6267" w:type="dxa"/>
            <w:vAlign w:val="center"/>
          </w:tcPr>
          <w:p w14:paraId="0A0B72D4">
            <w:pPr>
              <w:jc w:val="left"/>
              <w:rPr>
                <w:rFonts w:ascii="仿宋_GB2312" w:hAnsi="黑体" w:eastAsia="仿宋_GB2312" w:cs="黑体"/>
                <w:sz w:val="28"/>
                <w:szCs w:val="28"/>
              </w:rPr>
            </w:pPr>
            <w:r>
              <w:rPr>
                <w:rFonts w:hint="eastAsia" w:ascii="仿宋_GB2312" w:hAnsi="黑体" w:eastAsia="仿宋_GB2312" w:cs="黑体"/>
                <w:sz w:val="28"/>
                <w:szCs w:val="28"/>
              </w:rPr>
              <w:t>县委宣传部常务副部长</w:t>
            </w:r>
          </w:p>
        </w:tc>
      </w:tr>
      <w:tr w14:paraId="59529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1128" w:type="dxa"/>
            <w:vMerge w:val="continue"/>
            <w:vAlign w:val="center"/>
          </w:tcPr>
          <w:p w14:paraId="761034E9">
            <w:pPr>
              <w:jc w:val="center"/>
              <w:rPr>
                <w:rFonts w:ascii="仿宋_GB2312" w:hAnsi="黑体" w:eastAsia="仿宋_GB2312" w:cs="黑体"/>
                <w:sz w:val="28"/>
                <w:szCs w:val="28"/>
              </w:rPr>
            </w:pPr>
          </w:p>
        </w:tc>
        <w:tc>
          <w:tcPr>
            <w:tcW w:w="1384" w:type="dxa"/>
            <w:vAlign w:val="center"/>
          </w:tcPr>
          <w:p w14:paraId="66CAB452">
            <w:pPr>
              <w:jc w:val="center"/>
              <w:rPr>
                <w:rFonts w:ascii="仿宋_GB2312" w:hAnsi="黑体" w:eastAsia="仿宋_GB2312" w:cs="黑体"/>
                <w:sz w:val="28"/>
                <w:szCs w:val="28"/>
              </w:rPr>
            </w:pPr>
            <w:r>
              <w:rPr>
                <w:rFonts w:hint="eastAsia" w:ascii="仿宋_GB2312" w:hAnsi="黑体" w:eastAsia="仿宋_GB2312" w:cs="黑体"/>
                <w:sz w:val="28"/>
                <w:szCs w:val="28"/>
              </w:rPr>
              <w:t>米玛次仁</w:t>
            </w:r>
          </w:p>
        </w:tc>
        <w:tc>
          <w:tcPr>
            <w:tcW w:w="6267" w:type="dxa"/>
            <w:vAlign w:val="center"/>
          </w:tcPr>
          <w:p w14:paraId="09749A5D">
            <w:pPr>
              <w:jc w:val="left"/>
              <w:rPr>
                <w:rFonts w:ascii="仿宋_GB2312" w:hAnsi="黑体" w:eastAsia="仿宋_GB2312" w:cs="黑体"/>
                <w:sz w:val="28"/>
                <w:szCs w:val="28"/>
              </w:rPr>
            </w:pPr>
            <w:r>
              <w:rPr>
                <w:rFonts w:hint="eastAsia" w:ascii="仿宋_GB2312" w:hAnsi="黑体" w:eastAsia="仿宋_GB2312" w:cs="黑体"/>
                <w:sz w:val="28"/>
                <w:szCs w:val="28"/>
              </w:rPr>
              <w:t>县统战部常务副部长</w:t>
            </w:r>
          </w:p>
        </w:tc>
      </w:tr>
      <w:tr w14:paraId="76231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1128" w:type="dxa"/>
            <w:vMerge w:val="continue"/>
            <w:vAlign w:val="center"/>
          </w:tcPr>
          <w:p w14:paraId="51574FF3">
            <w:pPr>
              <w:jc w:val="center"/>
              <w:rPr>
                <w:rFonts w:ascii="仿宋_GB2312" w:hAnsi="黑体" w:eastAsia="仿宋_GB2312" w:cs="黑体"/>
                <w:sz w:val="28"/>
                <w:szCs w:val="28"/>
              </w:rPr>
            </w:pPr>
          </w:p>
        </w:tc>
        <w:tc>
          <w:tcPr>
            <w:tcW w:w="1384" w:type="dxa"/>
            <w:vAlign w:val="center"/>
          </w:tcPr>
          <w:p w14:paraId="1DA2FC70">
            <w:pPr>
              <w:jc w:val="center"/>
              <w:rPr>
                <w:rFonts w:ascii="仿宋_GB2312" w:hAnsi="黑体" w:eastAsia="仿宋_GB2312" w:cs="黑体"/>
                <w:sz w:val="28"/>
                <w:szCs w:val="28"/>
              </w:rPr>
            </w:pPr>
            <w:r>
              <w:rPr>
                <w:rFonts w:hint="eastAsia" w:ascii="仿宋_GB2312" w:hAnsi="黑体" w:eastAsia="仿宋_GB2312" w:cs="黑体"/>
                <w:sz w:val="28"/>
                <w:szCs w:val="28"/>
              </w:rPr>
              <w:t>宾 学 健</w:t>
            </w:r>
          </w:p>
        </w:tc>
        <w:tc>
          <w:tcPr>
            <w:tcW w:w="6267" w:type="dxa"/>
            <w:vAlign w:val="center"/>
          </w:tcPr>
          <w:p w14:paraId="10BB2264">
            <w:pPr>
              <w:jc w:val="left"/>
              <w:rPr>
                <w:rFonts w:ascii="仿宋_GB2312" w:hAnsi="黑体" w:eastAsia="仿宋_GB2312" w:cs="黑体"/>
                <w:sz w:val="28"/>
                <w:szCs w:val="28"/>
              </w:rPr>
            </w:pPr>
            <w:r>
              <w:rPr>
                <w:rFonts w:hint="eastAsia" w:ascii="仿宋_GB2312" w:hAnsi="黑体" w:eastAsia="仿宋_GB2312" w:cs="黑体"/>
                <w:sz w:val="28"/>
                <w:szCs w:val="28"/>
              </w:rPr>
              <w:t>县发展改革委党组书记、主任</w:t>
            </w:r>
          </w:p>
        </w:tc>
      </w:tr>
      <w:tr w14:paraId="55233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1128" w:type="dxa"/>
            <w:vMerge w:val="continue"/>
            <w:vAlign w:val="center"/>
          </w:tcPr>
          <w:p w14:paraId="3B4FBD95">
            <w:pPr>
              <w:jc w:val="center"/>
              <w:rPr>
                <w:rFonts w:ascii="仿宋_GB2312" w:hAnsi="黑体" w:eastAsia="仿宋_GB2312" w:cs="黑体"/>
                <w:sz w:val="28"/>
                <w:szCs w:val="28"/>
              </w:rPr>
            </w:pPr>
          </w:p>
        </w:tc>
        <w:tc>
          <w:tcPr>
            <w:tcW w:w="1384" w:type="dxa"/>
            <w:vAlign w:val="center"/>
          </w:tcPr>
          <w:p w14:paraId="7D28DB76">
            <w:pPr>
              <w:jc w:val="center"/>
              <w:rPr>
                <w:rFonts w:ascii="仿宋_GB2312" w:hAnsi="黑体" w:eastAsia="仿宋_GB2312" w:cs="黑体"/>
                <w:sz w:val="28"/>
                <w:szCs w:val="28"/>
              </w:rPr>
            </w:pPr>
            <w:r>
              <w:rPr>
                <w:rFonts w:hint="eastAsia" w:ascii="仿宋_GB2312" w:hAnsi="黑体" w:eastAsia="仿宋_GB2312" w:cs="黑体"/>
                <w:sz w:val="28"/>
                <w:szCs w:val="28"/>
              </w:rPr>
              <w:t>丁增曲扎</w:t>
            </w:r>
          </w:p>
        </w:tc>
        <w:tc>
          <w:tcPr>
            <w:tcW w:w="6267" w:type="dxa"/>
            <w:vAlign w:val="center"/>
          </w:tcPr>
          <w:p w14:paraId="23783202">
            <w:pPr>
              <w:jc w:val="left"/>
              <w:rPr>
                <w:rFonts w:ascii="仿宋_GB2312" w:hAnsi="黑体" w:eastAsia="仿宋_GB2312" w:cs="黑体"/>
                <w:sz w:val="28"/>
                <w:szCs w:val="28"/>
              </w:rPr>
            </w:pPr>
            <w:r>
              <w:rPr>
                <w:rFonts w:hint="eastAsia" w:ascii="仿宋_GB2312" w:hAnsi="黑体" w:eastAsia="仿宋_GB2312" w:cs="黑体"/>
                <w:sz w:val="28"/>
                <w:szCs w:val="28"/>
              </w:rPr>
              <w:t>县教育局党组副书记、副局长</w:t>
            </w:r>
          </w:p>
        </w:tc>
      </w:tr>
      <w:tr w14:paraId="48703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1128" w:type="dxa"/>
            <w:vMerge w:val="continue"/>
            <w:vAlign w:val="center"/>
          </w:tcPr>
          <w:p w14:paraId="443BBA5A">
            <w:pPr>
              <w:jc w:val="center"/>
              <w:rPr>
                <w:rFonts w:ascii="仿宋_GB2312" w:hAnsi="黑体" w:eastAsia="仿宋_GB2312" w:cs="黑体"/>
                <w:sz w:val="28"/>
                <w:szCs w:val="28"/>
              </w:rPr>
            </w:pPr>
          </w:p>
        </w:tc>
        <w:tc>
          <w:tcPr>
            <w:tcW w:w="1384" w:type="dxa"/>
            <w:vAlign w:val="center"/>
          </w:tcPr>
          <w:p w14:paraId="4268E516">
            <w:pPr>
              <w:jc w:val="center"/>
              <w:rPr>
                <w:rFonts w:ascii="仿宋_GB2312" w:hAnsi="黑体" w:eastAsia="仿宋_GB2312" w:cs="黑体"/>
                <w:sz w:val="28"/>
                <w:szCs w:val="28"/>
              </w:rPr>
            </w:pPr>
            <w:r>
              <w:rPr>
                <w:rFonts w:hint="eastAsia" w:ascii="仿宋_GB2312" w:hAnsi="黑体" w:eastAsia="仿宋_GB2312" w:cs="黑体"/>
                <w:sz w:val="28"/>
                <w:szCs w:val="28"/>
              </w:rPr>
              <w:t>黄 小 光</w:t>
            </w:r>
          </w:p>
        </w:tc>
        <w:tc>
          <w:tcPr>
            <w:tcW w:w="6267" w:type="dxa"/>
            <w:vAlign w:val="center"/>
          </w:tcPr>
          <w:p w14:paraId="4D296764">
            <w:pPr>
              <w:jc w:val="left"/>
              <w:rPr>
                <w:rFonts w:ascii="仿宋_GB2312" w:hAnsi="黑体" w:eastAsia="仿宋_GB2312" w:cs="黑体"/>
                <w:sz w:val="28"/>
                <w:szCs w:val="28"/>
              </w:rPr>
            </w:pPr>
            <w:r>
              <w:rPr>
                <w:rFonts w:hint="eastAsia" w:ascii="仿宋_GB2312" w:hAnsi="黑体" w:eastAsia="仿宋_GB2312" w:cs="黑体"/>
                <w:sz w:val="28"/>
                <w:szCs w:val="28"/>
              </w:rPr>
              <w:t>县民族宗教事务局党组书记、局长</w:t>
            </w:r>
          </w:p>
        </w:tc>
      </w:tr>
      <w:tr w14:paraId="42738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1128" w:type="dxa"/>
            <w:vMerge w:val="continue"/>
            <w:vAlign w:val="center"/>
          </w:tcPr>
          <w:p w14:paraId="151964F4">
            <w:pPr>
              <w:jc w:val="center"/>
              <w:rPr>
                <w:rFonts w:ascii="仿宋_GB2312" w:hAnsi="黑体" w:eastAsia="仿宋_GB2312" w:cs="黑体"/>
                <w:sz w:val="28"/>
                <w:szCs w:val="28"/>
              </w:rPr>
            </w:pPr>
          </w:p>
        </w:tc>
        <w:tc>
          <w:tcPr>
            <w:tcW w:w="1384" w:type="dxa"/>
            <w:vAlign w:val="center"/>
          </w:tcPr>
          <w:p w14:paraId="0A429293">
            <w:pPr>
              <w:jc w:val="center"/>
              <w:rPr>
                <w:rFonts w:ascii="仿宋_GB2312" w:hAnsi="黑体" w:eastAsia="仿宋_GB2312" w:cs="黑体"/>
                <w:sz w:val="28"/>
                <w:szCs w:val="28"/>
              </w:rPr>
            </w:pPr>
            <w:r>
              <w:rPr>
                <w:rFonts w:hint="eastAsia" w:ascii="仿宋_GB2312" w:hAnsi="黑体" w:eastAsia="仿宋_GB2312" w:cs="黑体"/>
                <w:sz w:val="28"/>
                <w:szCs w:val="28"/>
              </w:rPr>
              <w:t>洛松次仁</w:t>
            </w:r>
          </w:p>
        </w:tc>
        <w:tc>
          <w:tcPr>
            <w:tcW w:w="6267" w:type="dxa"/>
            <w:vAlign w:val="center"/>
          </w:tcPr>
          <w:p w14:paraId="36FDD224">
            <w:pPr>
              <w:jc w:val="left"/>
              <w:rPr>
                <w:rFonts w:ascii="仿宋_GB2312" w:hAnsi="黑体" w:eastAsia="仿宋_GB2312" w:cs="黑体"/>
                <w:sz w:val="28"/>
                <w:szCs w:val="28"/>
              </w:rPr>
            </w:pPr>
            <w:r>
              <w:rPr>
                <w:rFonts w:hint="eastAsia" w:ascii="仿宋_GB2312" w:hAnsi="黑体" w:eastAsia="仿宋_GB2312" w:cs="黑体"/>
                <w:sz w:val="28"/>
                <w:szCs w:val="28"/>
              </w:rPr>
              <w:t>县公安局党委副书记、政委</w:t>
            </w:r>
          </w:p>
        </w:tc>
      </w:tr>
      <w:tr w14:paraId="2382B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1128" w:type="dxa"/>
            <w:vMerge w:val="continue"/>
            <w:vAlign w:val="center"/>
          </w:tcPr>
          <w:p w14:paraId="64FC752E">
            <w:pPr>
              <w:jc w:val="center"/>
              <w:rPr>
                <w:rFonts w:ascii="仿宋_GB2312" w:hAnsi="黑体" w:eastAsia="仿宋_GB2312" w:cs="黑体"/>
                <w:sz w:val="28"/>
                <w:szCs w:val="28"/>
              </w:rPr>
            </w:pPr>
          </w:p>
        </w:tc>
        <w:tc>
          <w:tcPr>
            <w:tcW w:w="1384" w:type="dxa"/>
            <w:vAlign w:val="center"/>
          </w:tcPr>
          <w:p w14:paraId="44284FE2">
            <w:pPr>
              <w:jc w:val="center"/>
              <w:rPr>
                <w:rFonts w:ascii="仿宋_GB2312" w:hAnsi="黑体" w:eastAsia="仿宋_GB2312" w:cs="黑体"/>
                <w:sz w:val="28"/>
                <w:szCs w:val="28"/>
              </w:rPr>
            </w:pPr>
            <w:r>
              <w:rPr>
                <w:rFonts w:hint="eastAsia" w:ascii="仿宋_GB2312" w:hAnsi="黑体" w:eastAsia="仿宋_GB2312" w:cs="黑体"/>
                <w:sz w:val="28"/>
                <w:szCs w:val="28"/>
              </w:rPr>
              <w:t>吴 金 微</w:t>
            </w:r>
          </w:p>
        </w:tc>
        <w:tc>
          <w:tcPr>
            <w:tcW w:w="6267" w:type="dxa"/>
            <w:vAlign w:val="center"/>
          </w:tcPr>
          <w:p w14:paraId="598D79B3">
            <w:pPr>
              <w:jc w:val="left"/>
              <w:rPr>
                <w:rFonts w:ascii="仿宋_GB2312" w:hAnsi="黑体" w:eastAsia="仿宋_GB2312" w:cs="黑体"/>
                <w:sz w:val="28"/>
                <w:szCs w:val="28"/>
              </w:rPr>
            </w:pPr>
            <w:r>
              <w:rPr>
                <w:rFonts w:hint="eastAsia" w:ascii="仿宋_GB2312" w:hAnsi="黑体" w:eastAsia="仿宋_GB2312" w:cs="黑体"/>
                <w:sz w:val="28"/>
                <w:szCs w:val="28"/>
              </w:rPr>
              <w:t>县司法局党组书记、局长</w:t>
            </w:r>
          </w:p>
        </w:tc>
      </w:tr>
      <w:tr w14:paraId="37506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1128" w:type="dxa"/>
            <w:vMerge w:val="continue"/>
            <w:vAlign w:val="center"/>
          </w:tcPr>
          <w:p w14:paraId="68CFED8E">
            <w:pPr>
              <w:jc w:val="center"/>
              <w:rPr>
                <w:rFonts w:ascii="仿宋_GB2312" w:hAnsi="黑体" w:eastAsia="仿宋_GB2312" w:cs="黑体"/>
                <w:sz w:val="28"/>
                <w:szCs w:val="28"/>
              </w:rPr>
            </w:pPr>
          </w:p>
        </w:tc>
        <w:tc>
          <w:tcPr>
            <w:tcW w:w="1384" w:type="dxa"/>
            <w:vAlign w:val="center"/>
          </w:tcPr>
          <w:p w14:paraId="0BD95241">
            <w:pPr>
              <w:jc w:val="center"/>
              <w:rPr>
                <w:rFonts w:ascii="仿宋_GB2312" w:hAnsi="黑体" w:eastAsia="仿宋_GB2312" w:cs="黑体"/>
                <w:sz w:val="28"/>
                <w:szCs w:val="28"/>
              </w:rPr>
            </w:pPr>
            <w:r>
              <w:rPr>
                <w:rFonts w:hint="eastAsia" w:ascii="仿宋_GB2312" w:hAnsi="黑体" w:eastAsia="仿宋_GB2312" w:cs="黑体"/>
                <w:sz w:val="28"/>
                <w:szCs w:val="28"/>
              </w:rPr>
              <w:t>其美卓嘎</w:t>
            </w:r>
          </w:p>
        </w:tc>
        <w:tc>
          <w:tcPr>
            <w:tcW w:w="6267" w:type="dxa"/>
            <w:vAlign w:val="center"/>
          </w:tcPr>
          <w:p w14:paraId="2B355025">
            <w:pPr>
              <w:jc w:val="left"/>
              <w:rPr>
                <w:rFonts w:ascii="仿宋_GB2312" w:hAnsi="黑体" w:eastAsia="仿宋_GB2312" w:cs="黑体"/>
                <w:sz w:val="28"/>
                <w:szCs w:val="28"/>
              </w:rPr>
            </w:pPr>
            <w:r>
              <w:rPr>
                <w:rFonts w:hint="eastAsia" w:ascii="仿宋_GB2312" w:hAnsi="黑体" w:eastAsia="仿宋_GB2312" w:cs="黑体"/>
                <w:sz w:val="28"/>
                <w:szCs w:val="28"/>
              </w:rPr>
              <w:t>县财政局党组书记、局长</w:t>
            </w:r>
          </w:p>
        </w:tc>
      </w:tr>
      <w:tr w14:paraId="6DE9F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1128" w:type="dxa"/>
            <w:vMerge w:val="continue"/>
            <w:vAlign w:val="center"/>
          </w:tcPr>
          <w:p w14:paraId="23B32836">
            <w:pPr>
              <w:jc w:val="center"/>
              <w:rPr>
                <w:rFonts w:ascii="仿宋_GB2312" w:hAnsi="黑体" w:eastAsia="仿宋_GB2312" w:cs="黑体"/>
                <w:sz w:val="28"/>
                <w:szCs w:val="28"/>
              </w:rPr>
            </w:pPr>
          </w:p>
        </w:tc>
        <w:tc>
          <w:tcPr>
            <w:tcW w:w="1384" w:type="dxa"/>
            <w:vAlign w:val="center"/>
          </w:tcPr>
          <w:p w14:paraId="2B1A6407">
            <w:pPr>
              <w:jc w:val="center"/>
              <w:rPr>
                <w:rFonts w:ascii="仿宋_GB2312" w:hAnsi="黑体" w:eastAsia="仿宋_GB2312" w:cs="黑体"/>
                <w:sz w:val="28"/>
                <w:szCs w:val="28"/>
              </w:rPr>
            </w:pPr>
            <w:r>
              <w:rPr>
                <w:rFonts w:hint="eastAsia" w:ascii="仿宋_GB2312" w:hAnsi="黑体" w:eastAsia="仿宋_GB2312" w:cs="黑体"/>
                <w:sz w:val="28"/>
                <w:szCs w:val="28"/>
              </w:rPr>
              <w:t>邓 志 乾</w:t>
            </w:r>
          </w:p>
        </w:tc>
        <w:tc>
          <w:tcPr>
            <w:tcW w:w="6267" w:type="dxa"/>
            <w:vAlign w:val="center"/>
          </w:tcPr>
          <w:p w14:paraId="2E7C342A">
            <w:pPr>
              <w:jc w:val="left"/>
              <w:rPr>
                <w:rFonts w:ascii="仿宋_GB2312" w:hAnsi="黑体" w:eastAsia="仿宋_GB2312" w:cs="黑体"/>
                <w:sz w:val="28"/>
                <w:szCs w:val="28"/>
              </w:rPr>
            </w:pPr>
            <w:r>
              <w:rPr>
                <w:rFonts w:hint="eastAsia" w:ascii="仿宋_GB2312" w:hAnsi="黑体" w:eastAsia="仿宋_GB2312" w:cs="黑体"/>
                <w:sz w:val="28"/>
                <w:szCs w:val="28"/>
              </w:rPr>
              <w:t>县人力资源和社会保障局党组书记、局长</w:t>
            </w:r>
          </w:p>
        </w:tc>
      </w:tr>
      <w:tr w14:paraId="153F1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1128" w:type="dxa"/>
            <w:vMerge w:val="continue"/>
            <w:vAlign w:val="center"/>
          </w:tcPr>
          <w:p w14:paraId="44C268E5">
            <w:pPr>
              <w:jc w:val="center"/>
              <w:rPr>
                <w:rFonts w:ascii="仿宋_GB2312" w:hAnsi="黑体" w:eastAsia="仿宋_GB2312" w:cs="黑体"/>
                <w:sz w:val="28"/>
                <w:szCs w:val="28"/>
              </w:rPr>
            </w:pPr>
          </w:p>
        </w:tc>
        <w:tc>
          <w:tcPr>
            <w:tcW w:w="1384" w:type="dxa"/>
            <w:vAlign w:val="center"/>
          </w:tcPr>
          <w:p w14:paraId="713EEED5">
            <w:pPr>
              <w:jc w:val="center"/>
              <w:rPr>
                <w:rFonts w:ascii="仿宋_GB2312" w:hAnsi="黑体" w:eastAsia="仿宋_GB2312" w:cs="黑体"/>
                <w:sz w:val="28"/>
                <w:szCs w:val="28"/>
              </w:rPr>
            </w:pPr>
            <w:r>
              <w:rPr>
                <w:rFonts w:hint="eastAsia" w:ascii="仿宋_GB2312" w:hAnsi="黑体" w:eastAsia="仿宋_GB2312" w:cs="黑体"/>
                <w:sz w:val="28"/>
                <w:szCs w:val="28"/>
              </w:rPr>
              <w:t>次仁旺登</w:t>
            </w:r>
          </w:p>
        </w:tc>
        <w:tc>
          <w:tcPr>
            <w:tcW w:w="6267" w:type="dxa"/>
            <w:vAlign w:val="center"/>
          </w:tcPr>
          <w:p w14:paraId="165D52D3">
            <w:pPr>
              <w:jc w:val="left"/>
              <w:rPr>
                <w:rFonts w:ascii="仿宋_GB2312" w:hAnsi="黑体" w:eastAsia="仿宋_GB2312" w:cs="黑体"/>
                <w:sz w:val="28"/>
                <w:szCs w:val="28"/>
              </w:rPr>
            </w:pPr>
            <w:r>
              <w:rPr>
                <w:rFonts w:hint="eastAsia" w:ascii="仿宋_GB2312" w:hAnsi="黑体" w:eastAsia="仿宋_GB2312" w:cs="黑体"/>
                <w:sz w:val="28"/>
                <w:szCs w:val="28"/>
              </w:rPr>
              <w:t>县自然资源局党组书记、局长</w:t>
            </w:r>
          </w:p>
        </w:tc>
      </w:tr>
      <w:tr w14:paraId="244EE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1128" w:type="dxa"/>
            <w:vMerge w:val="continue"/>
            <w:vAlign w:val="center"/>
          </w:tcPr>
          <w:p w14:paraId="31326F25">
            <w:pPr>
              <w:jc w:val="center"/>
              <w:rPr>
                <w:rFonts w:ascii="仿宋_GB2312" w:hAnsi="黑体" w:eastAsia="仿宋_GB2312" w:cs="黑体"/>
                <w:sz w:val="28"/>
                <w:szCs w:val="28"/>
              </w:rPr>
            </w:pPr>
          </w:p>
        </w:tc>
        <w:tc>
          <w:tcPr>
            <w:tcW w:w="1384" w:type="dxa"/>
            <w:vAlign w:val="center"/>
          </w:tcPr>
          <w:p w14:paraId="76DEA758">
            <w:pPr>
              <w:jc w:val="center"/>
              <w:rPr>
                <w:rFonts w:ascii="仿宋_GB2312" w:hAnsi="黑体" w:eastAsia="仿宋_GB2312" w:cs="黑体"/>
                <w:sz w:val="28"/>
                <w:szCs w:val="28"/>
              </w:rPr>
            </w:pPr>
            <w:r>
              <w:rPr>
                <w:rFonts w:hint="eastAsia" w:ascii="仿宋_GB2312" w:hAnsi="黑体" w:eastAsia="仿宋_GB2312" w:cs="黑体"/>
                <w:sz w:val="28"/>
                <w:szCs w:val="28"/>
              </w:rPr>
              <w:t>陈林群培</w:t>
            </w:r>
          </w:p>
        </w:tc>
        <w:tc>
          <w:tcPr>
            <w:tcW w:w="6267" w:type="dxa"/>
            <w:vAlign w:val="center"/>
          </w:tcPr>
          <w:p w14:paraId="56C6D10E">
            <w:pPr>
              <w:jc w:val="left"/>
              <w:rPr>
                <w:rFonts w:ascii="仿宋_GB2312" w:hAnsi="黑体" w:eastAsia="仿宋_GB2312" w:cs="黑体"/>
                <w:sz w:val="28"/>
                <w:szCs w:val="28"/>
              </w:rPr>
            </w:pPr>
            <w:r>
              <w:rPr>
                <w:rFonts w:hint="eastAsia" w:ascii="仿宋_GB2312" w:hAnsi="黑体" w:eastAsia="仿宋_GB2312" w:cs="黑体"/>
                <w:sz w:val="28"/>
                <w:szCs w:val="28"/>
              </w:rPr>
              <w:t>昌都市生态环境局洛隆县分局局长</w:t>
            </w:r>
          </w:p>
        </w:tc>
      </w:tr>
      <w:tr w14:paraId="3263F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1128" w:type="dxa"/>
            <w:vMerge w:val="continue"/>
            <w:vAlign w:val="center"/>
          </w:tcPr>
          <w:p w14:paraId="0278472F">
            <w:pPr>
              <w:jc w:val="center"/>
              <w:rPr>
                <w:rFonts w:ascii="仿宋_GB2312" w:hAnsi="黑体" w:eastAsia="仿宋_GB2312" w:cs="黑体"/>
                <w:sz w:val="28"/>
                <w:szCs w:val="28"/>
              </w:rPr>
            </w:pPr>
          </w:p>
        </w:tc>
        <w:tc>
          <w:tcPr>
            <w:tcW w:w="1384" w:type="dxa"/>
            <w:vAlign w:val="center"/>
          </w:tcPr>
          <w:p w14:paraId="5B4F9816">
            <w:pPr>
              <w:jc w:val="center"/>
              <w:rPr>
                <w:rFonts w:ascii="仿宋_GB2312" w:hAnsi="黑体" w:eastAsia="仿宋_GB2312" w:cs="黑体"/>
                <w:sz w:val="28"/>
                <w:szCs w:val="28"/>
              </w:rPr>
            </w:pPr>
            <w:r>
              <w:rPr>
                <w:rFonts w:hint="eastAsia" w:ascii="仿宋_GB2312" w:hAnsi="黑体" w:eastAsia="仿宋_GB2312" w:cs="黑体"/>
                <w:sz w:val="28"/>
                <w:szCs w:val="28"/>
              </w:rPr>
              <w:t>王 宏 志</w:t>
            </w:r>
          </w:p>
        </w:tc>
        <w:tc>
          <w:tcPr>
            <w:tcW w:w="6267" w:type="dxa"/>
            <w:vAlign w:val="center"/>
          </w:tcPr>
          <w:p w14:paraId="178A5ECF">
            <w:pPr>
              <w:jc w:val="left"/>
              <w:rPr>
                <w:rFonts w:ascii="仿宋_GB2312" w:hAnsi="黑体" w:eastAsia="仿宋_GB2312" w:cs="黑体"/>
                <w:sz w:val="28"/>
                <w:szCs w:val="28"/>
              </w:rPr>
            </w:pPr>
            <w:r>
              <w:rPr>
                <w:rFonts w:hint="eastAsia" w:ascii="仿宋_GB2312" w:hAnsi="黑体" w:eastAsia="仿宋_GB2312" w:cs="黑体"/>
                <w:sz w:val="28"/>
                <w:szCs w:val="28"/>
              </w:rPr>
              <w:t>县住房和城乡建设局党组书记、局长</w:t>
            </w:r>
          </w:p>
        </w:tc>
      </w:tr>
      <w:tr w14:paraId="4136E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1128" w:type="dxa"/>
            <w:vMerge w:val="continue"/>
            <w:vAlign w:val="center"/>
          </w:tcPr>
          <w:p w14:paraId="40AF52FD">
            <w:pPr>
              <w:jc w:val="center"/>
              <w:rPr>
                <w:rFonts w:ascii="仿宋_GB2312" w:hAnsi="黑体" w:eastAsia="仿宋_GB2312" w:cs="黑体"/>
                <w:sz w:val="28"/>
                <w:szCs w:val="28"/>
              </w:rPr>
            </w:pPr>
          </w:p>
        </w:tc>
        <w:tc>
          <w:tcPr>
            <w:tcW w:w="1384" w:type="dxa"/>
            <w:vAlign w:val="center"/>
          </w:tcPr>
          <w:p w14:paraId="210F87D5">
            <w:pPr>
              <w:jc w:val="center"/>
              <w:rPr>
                <w:rFonts w:ascii="仿宋_GB2312" w:hAnsi="黑体" w:eastAsia="仿宋_GB2312" w:cs="黑体"/>
                <w:sz w:val="28"/>
                <w:szCs w:val="28"/>
              </w:rPr>
            </w:pPr>
            <w:r>
              <w:rPr>
                <w:rFonts w:hint="eastAsia" w:ascii="仿宋_GB2312" w:hAnsi="黑体" w:eastAsia="仿宋_GB2312" w:cs="黑体"/>
                <w:sz w:val="28"/>
                <w:szCs w:val="28"/>
              </w:rPr>
              <w:t>扎西旺堆</w:t>
            </w:r>
          </w:p>
        </w:tc>
        <w:tc>
          <w:tcPr>
            <w:tcW w:w="6267" w:type="dxa"/>
            <w:vAlign w:val="center"/>
          </w:tcPr>
          <w:p w14:paraId="6BDABAA3">
            <w:pPr>
              <w:jc w:val="left"/>
              <w:rPr>
                <w:rFonts w:ascii="仿宋_GB2312" w:hAnsi="黑体" w:eastAsia="仿宋_GB2312" w:cs="黑体"/>
                <w:sz w:val="28"/>
                <w:szCs w:val="28"/>
              </w:rPr>
            </w:pPr>
            <w:r>
              <w:rPr>
                <w:rFonts w:hint="eastAsia" w:ascii="仿宋_GB2312" w:hAnsi="黑体" w:eastAsia="仿宋_GB2312" w:cs="黑体"/>
                <w:sz w:val="28"/>
                <w:szCs w:val="28"/>
              </w:rPr>
              <w:t>县交通运输局党组书记、局长</w:t>
            </w:r>
          </w:p>
        </w:tc>
      </w:tr>
      <w:tr w14:paraId="397AF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1128" w:type="dxa"/>
            <w:vMerge w:val="restart"/>
            <w:vAlign w:val="center"/>
          </w:tcPr>
          <w:p w14:paraId="72EC407B">
            <w:pPr>
              <w:jc w:val="center"/>
              <w:rPr>
                <w:rFonts w:ascii="仿宋_GB2312" w:hAnsi="黑体" w:eastAsia="仿宋_GB2312" w:cs="黑体"/>
                <w:sz w:val="28"/>
                <w:szCs w:val="28"/>
              </w:rPr>
            </w:pPr>
            <w:r>
              <w:rPr>
                <w:rFonts w:hint="eastAsia" w:ascii="仿宋_GB2312" w:hAnsi="黑体" w:eastAsia="仿宋_GB2312" w:cs="黑体"/>
                <w:sz w:val="28"/>
                <w:szCs w:val="28"/>
              </w:rPr>
              <w:t>成  员</w:t>
            </w:r>
          </w:p>
        </w:tc>
        <w:tc>
          <w:tcPr>
            <w:tcW w:w="1384" w:type="dxa"/>
            <w:vAlign w:val="center"/>
          </w:tcPr>
          <w:p w14:paraId="6C729209">
            <w:pPr>
              <w:jc w:val="center"/>
              <w:rPr>
                <w:rFonts w:ascii="仿宋_GB2312" w:hAnsi="黑体" w:eastAsia="仿宋_GB2312" w:cs="黑体"/>
                <w:sz w:val="28"/>
                <w:szCs w:val="28"/>
              </w:rPr>
            </w:pPr>
            <w:r>
              <w:rPr>
                <w:rFonts w:hint="eastAsia" w:ascii="仿宋_GB2312" w:hAnsi="黑体" w:eastAsia="仿宋_GB2312" w:cs="黑体"/>
                <w:sz w:val="28"/>
                <w:szCs w:val="28"/>
              </w:rPr>
              <w:t>旦增群培</w:t>
            </w:r>
          </w:p>
        </w:tc>
        <w:tc>
          <w:tcPr>
            <w:tcW w:w="6267" w:type="dxa"/>
            <w:vAlign w:val="center"/>
          </w:tcPr>
          <w:p w14:paraId="02595E15">
            <w:pPr>
              <w:jc w:val="left"/>
              <w:rPr>
                <w:rFonts w:ascii="仿宋_GB2312" w:hAnsi="黑体" w:eastAsia="仿宋_GB2312" w:cs="黑体"/>
                <w:sz w:val="28"/>
                <w:szCs w:val="28"/>
              </w:rPr>
            </w:pPr>
            <w:r>
              <w:rPr>
                <w:rFonts w:hint="eastAsia" w:ascii="仿宋_GB2312" w:hAnsi="黑体" w:eastAsia="仿宋_GB2312" w:cs="黑体"/>
                <w:sz w:val="28"/>
                <w:szCs w:val="28"/>
              </w:rPr>
              <w:t>县水利局党组书记、局长</w:t>
            </w:r>
          </w:p>
        </w:tc>
      </w:tr>
      <w:tr w14:paraId="6CB6E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1128" w:type="dxa"/>
            <w:vMerge w:val="continue"/>
            <w:vAlign w:val="center"/>
          </w:tcPr>
          <w:p w14:paraId="3CF013A0">
            <w:pPr>
              <w:jc w:val="center"/>
              <w:rPr>
                <w:rFonts w:ascii="仿宋_GB2312" w:hAnsi="黑体" w:eastAsia="仿宋_GB2312" w:cs="黑体"/>
                <w:sz w:val="28"/>
                <w:szCs w:val="28"/>
              </w:rPr>
            </w:pPr>
          </w:p>
        </w:tc>
        <w:tc>
          <w:tcPr>
            <w:tcW w:w="1384" w:type="dxa"/>
            <w:vAlign w:val="center"/>
          </w:tcPr>
          <w:p w14:paraId="612DA742">
            <w:pPr>
              <w:jc w:val="center"/>
              <w:rPr>
                <w:rFonts w:ascii="仿宋_GB2312" w:hAnsi="黑体" w:eastAsia="仿宋_GB2312" w:cs="黑体"/>
                <w:sz w:val="28"/>
                <w:szCs w:val="28"/>
              </w:rPr>
            </w:pPr>
            <w:r>
              <w:rPr>
                <w:rFonts w:hint="eastAsia" w:ascii="仿宋_GB2312" w:hAnsi="黑体" w:eastAsia="仿宋_GB2312" w:cs="黑体"/>
                <w:sz w:val="28"/>
                <w:szCs w:val="28"/>
              </w:rPr>
              <w:t>扎    西</w:t>
            </w:r>
          </w:p>
        </w:tc>
        <w:tc>
          <w:tcPr>
            <w:tcW w:w="6267" w:type="dxa"/>
            <w:vAlign w:val="center"/>
          </w:tcPr>
          <w:p w14:paraId="2F76696B">
            <w:pPr>
              <w:jc w:val="left"/>
              <w:rPr>
                <w:rFonts w:ascii="仿宋_GB2312" w:hAnsi="黑体" w:eastAsia="仿宋_GB2312" w:cs="黑体"/>
                <w:sz w:val="28"/>
                <w:szCs w:val="28"/>
              </w:rPr>
            </w:pPr>
            <w:r>
              <w:rPr>
                <w:rFonts w:hint="eastAsia" w:ascii="仿宋_GB2312" w:hAnsi="黑体" w:eastAsia="仿宋_GB2312" w:cs="黑体"/>
                <w:sz w:val="28"/>
                <w:szCs w:val="28"/>
              </w:rPr>
              <w:t>县农业农村局党组书记、局长</w:t>
            </w:r>
          </w:p>
        </w:tc>
      </w:tr>
      <w:tr w14:paraId="437AF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1128" w:type="dxa"/>
            <w:vMerge w:val="continue"/>
            <w:vAlign w:val="center"/>
          </w:tcPr>
          <w:p w14:paraId="40517519">
            <w:pPr>
              <w:jc w:val="center"/>
              <w:rPr>
                <w:rFonts w:ascii="仿宋_GB2312" w:hAnsi="黑体" w:eastAsia="仿宋_GB2312" w:cs="黑体"/>
                <w:sz w:val="28"/>
                <w:szCs w:val="28"/>
              </w:rPr>
            </w:pPr>
          </w:p>
        </w:tc>
        <w:tc>
          <w:tcPr>
            <w:tcW w:w="1384" w:type="dxa"/>
            <w:vAlign w:val="center"/>
          </w:tcPr>
          <w:p w14:paraId="10061162">
            <w:pPr>
              <w:jc w:val="center"/>
              <w:rPr>
                <w:rFonts w:ascii="仿宋_GB2312" w:hAnsi="黑体" w:eastAsia="仿宋_GB2312" w:cs="黑体"/>
                <w:sz w:val="28"/>
                <w:szCs w:val="28"/>
              </w:rPr>
            </w:pPr>
            <w:r>
              <w:rPr>
                <w:rFonts w:hint="eastAsia" w:ascii="仿宋_GB2312" w:hAnsi="黑体" w:eastAsia="仿宋_GB2312" w:cs="黑体"/>
                <w:sz w:val="28"/>
                <w:szCs w:val="28"/>
              </w:rPr>
              <w:t>黄 普 根</w:t>
            </w:r>
          </w:p>
        </w:tc>
        <w:tc>
          <w:tcPr>
            <w:tcW w:w="6267" w:type="dxa"/>
            <w:vAlign w:val="center"/>
          </w:tcPr>
          <w:p w14:paraId="53D59326">
            <w:pPr>
              <w:jc w:val="left"/>
              <w:rPr>
                <w:rFonts w:ascii="仿宋_GB2312" w:hAnsi="黑体" w:eastAsia="仿宋_GB2312" w:cs="黑体"/>
                <w:sz w:val="28"/>
                <w:szCs w:val="28"/>
              </w:rPr>
            </w:pPr>
            <w:r>
              <w:rPr>
                <w:rFonts w:hint="eastAsia" w:ascii="仿宋_GB2312" w:hAnsi="黑体" w:eastAsia="仿宋_GB2312" w:cs="黑体"/>
                <w:sz w:val="28"/>
                <w:szCs w:val="28"/>
              </w:rPr>
              <w:t>县商务局局长</w:t>
            </w:r>
          </w:p>
        </w:tc>
      </w:tr>
      <w:tr w14:paraId="69D9B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1128" w:type="dxa"/>
            <w:vMerge w:val="continue"/>
            <w:vAlign w:val="center"/>
          </w:tcPr>
          <w:p w14:paraId="60146618">
            <w:pPr>
              <w:jc w:val="center"/>
              <w:rPr>
                <w:rFonts w:ascii="仿宋_GB2312" w:hAnsi="黑体" w:eastAsia="仿宋_GB2312" w:cs="黑体"/>
                <w:sz w:val="28"/>
                <w:szCs w:val="28"/>
              </w:rPr>
            </w:pPr>
          </w:p>
        </w:tc>
        <w:tc>
          <w:tcPr>
            <w:tcW w:w="1384" w:type="dxa"/>
            <w:vAlign w:val="center"/>
          </w:tcPr>
          <w:p w14:paraId="099D844F">
            <w:pPr>
              <w:jc w:val="center"/>
              <w:rPr>
                <w:rFonts w:ascii="仿宋_GB2312" w:hAnsi="黑体" w:eastAsia="仿宋_GB2312" w:cs="黑体"/>
                <w:sz w:val="28"/>
                <w:szCs w:val="28"/>
              </w:rPr>
            </w:pPr>
            <w:r>
              <w:rPr>
                <w:rFonts w:hint="eastAsia" w:ascii="仿宋_GB2312" w:hAnsi="黑体" w:eastAsia="仿宋_GB2312" w:cs="黑体"/>
                <w:sz w:val="28"/>
                <w:szCs w:val="28"/>
              </w:rPr>
              <w:t>蒋 兴 鹏</w:t>
            </w:r>
          </w:p>
        </w:tc>
        <w:tc>
          <w:tcPr>
            <w:tcW w:w="6267" w:type="dxa"/>
            <w:vAlign w:val="center"/>
          </w:tcPr>
          <w:p w14:paraId="7AE97927">
            <w:pPr>
              <w:jc w:val="left"/>
              <w:rPr>
                <w:rFonts w:ascii="仿宋_GB2312" w:hAnsi="黑体" w:eastAsia="仿宋_GB2312" w:cs="黑体"/>
                <w:sz w:val="28"/>
                <w:szCs w:val="28"/>
              </w:rPr>
            </w:pPr>
            <w:r>
              <w:rPr>
                <w:rFonts w:hint="eastAsia" w:ascii="仿宋_GB2312" w:hAnsi="黑体" w:eastAsia="仿宋_GB2312" w:cs="黑体"/>
                <w:sz w:val="28"/>
                <w:szCs w:val="28"/>
              </w:rPr>
              <w:t>县应急管理局负责人</w:t>
            </w:r>
          </w:p>
        </w:tc>
      </w:tr>
      <w:tr w14:paraId="604D9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1128" w:type="dxa"/>
            <w:vMerge w:val="continue"/>
            <w:vAlign w:val="center"/>
          </w:tcPr>
          <w:p w14:paraId="6175209B">
            <w:pPr>
              <w:jc w:val="center"/>
              <w:rPr>
                <w:rFonts w:ascii="仿宋_GB2312" w:hAnsi="黑体" w:eastAsia="仿宋_GB2312" w:cs="黑体"/>
                <w:sz w:val="28"/>
                <w:szCs w:val="28"/>
              </w:rPr>
            </w:pPr>
          </w:p>
        </w:tc>
        <w:tc>
          <w:tcPr>
            <w:tcW w:w="1384" w:type="dxa"/>
            <w:vAlign w:val="center"/>
          </w:tcPr>
          <w:p w14:paraId="6570BCC3">
            <w:pPr>
              <w:jc w:val="center"/>
              <w:rPr>
                <w:rFonts w:ascii="仿宋_GB2312" w:hAnsi="黑体" w:eastAsia="仿宋_GB2312" w:cs="黑体"/>
                <w:sz w:val="28"/>
                <w:szCs w:val="28"/>
              </w:rPr>
            </w:pPr>
            <w:r>
              <w:rPr>
                <w:rFonts w:hint="eastAsia" w:ascii="仿宋_GB2312" w:hAnsi="黑体" w:eastAsia="仿宋_GB2312" w:cs="黑体"/>
                <w:sz w:val="28"/>
                <w:szCs w:val="28"/>
              </w:rPr>
              <w:t>孙 李 鹏</w:t>
            </w:r>
          </w:p>
        </w:tc>
        <w:tc>
          <w:tcPr>
            <w:tcW w:w="6267" w:type="dxa"/>
            <w:vAlign w:val="center"/>
          </w:tcPr>
          <w:p w14:paraId="3106789B">
            <w:pPr>
              <w:jc w:val="left"/>
              <w:rPr>
                <w:rFonts w:ascii="仿宋_GB2312" w:hAnsi="黑体" w:eastAsia="仿宋_GB2312" w:cs="黑体"/>
                <w:sz w:val="28"/>
                <w:szCs w:val="28"/>
              </w:rPr>
            </w:pPr>
            <w:r>
              <w:rPr>
                <w:rFonts w:hint="eastAsia" w:ascii="仿宋_GB2312" w:hAnsi="黑体" w:eastAsia="仿宋_GB2312" w:cs="黑体"/>
                <w:sz w:val="28"/>
                <w:szCs w:val="28"/>
              </w:rPr>
              <w:t>县卫生健康委党组书记、主任</w:t>
            </w:r>
          </w:p>
        </w:tc>
      </w:tr>
      <w:tr w14:paraId="5043D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1128" w:type="dxa"/>
            <w:vMerge w:val="continue"/>
            <w:vAlign w:val="center"/>
          </w:tcPr>
          <w:p w14:paraId="1CB877AA">
            <w:pPr>
              <w:jc w:val="center"/>
              <w:rPr>
                <w:rFonts w:ascii="仿宋_GB2312" w:hAnsi="黑体" w:eastAsia="仿宋_GB2312" w:cs="黑体"/>
                <w:sz w:val="28"/>
                <w:szCs w:val="28"/>
              </w:rPr>
            </w:pPr>
          </w:p>
        </w:tc>
        <w:tc>
          <w:tcPr>
            <w:tcW w:w="1384" w:type="dxa"/>
            <w:vAlign w:val="center"/>
          </w:tcPr>
          <w:p w14:paraId="6BD36B27">
            <w:pPr>
              <w:jc w:val="center"/>
              <w:rPr>
                <w:rFonts w:ascii="仿宋_GB2312" w:hAnsi="黑体" w:eastAsia="仿宋_GB2312" w:cs="黑体"/>
                <w:sz w:val="28"/>
                <w:szCs w:val="28"/>
              </w:rPr>
            </w:pPr>
            <w:r>
              <w:rPr>
                <w:rFonts w:hint="eastAsia" w:ascii="仿宋_GB2312" w:hAnsi="黑体" w:eastAsia="仿宋_GB2312" w:cs="黑体"/>
                <w:sz w:val="28"/>
                <w:szCs w:val="28"/>
              </w:rPr>
              <w:t>向巴曲邓</w:t>
            </w:r>
          </w:p>
        </w:tc>
        <w:tc>
          <w:tcPr>
            <w:tcW w:w="6267" w:type="dxa"/>
            <w:vAlign w:val="center"/>
          </w:tcPr>
          <w:p w14:paraId="28C2B26D">
            <w:pPr>
              <w:jc w:val="left"/>
              <w:rPr>
                <w:rFonts w:ascii="仿宋_GB2312" w:hAnsi="黑体" w:eastAsia="仿宋_GB2312" w:cs="黑体"/>
                <w:sz w:val="28"/>
                <w:szCs w:val="28"/>
              </w:rPr>
            </w:pPr>
            <w:r>
              <w:rPr>
                <w:rFonts w:hint="eastAsia" w:ascii="仿宋_GB2312" w:hAnsi="黑体" w:eastAsia="仿宋_GB2312" w:cs="黑体"/>
                <w:sz w:val="28"/>
                <w:szCs w:val="28"/>
              </w:rPr>
              <w:t>县林业和草原局党组书记、局长</w:t>
            </w:r>
          </w:p>
        </w:tc>
      </w:tr>
      <w:tr w14:paraId="361F1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1128" w:type="dxa"/>
            <w:vMerge w:val="continue"/>
            <w:vAlign w:val="center"/>
          </w:tcPr>
          <w:p w14:paraId="54D43C8D">
            <w:pPr>
              <w:jc w:val="center"/>
              <w:rPr>
                <w:rFonts w:ascii="仿宋_GB2312" w:hAnsi="黑体" w:eastAsia="仿宋_GB2312" w:cs="黑体"/>
                <w:sz w:val="28"/>
                <w:szCs w:val="28"/>
              </w:rPr>
            </w:pPr>
          </w:p>
        </w:tc>
        <w:tc>
          <w:tcPr>
            <w:tcW w:w="1384" w:type="dxa"/>
            <w:vAlign w:val="center"/>
          </w:tcPr>
          <w:p w14:paraId="6D23C4F6">
            <w:pPr>
              <w:jc w:val="center"/>
              <w:rPr>
                <w:rFonts w:ascii="仿宋_GB2312" w:hAnsi="黑体" w:eastAsia="仿宋_GB2312" w:cs="黑体"/>
                <w:sz w:val="28"/>
                <w:szCs w:val="28"/>
              </w:rPr>
            </w:pPr>
            <w:r>
              <w:rPr>
                <w:rFonts w:hint="eastAsia" w:ascii="仿宋_GB2312" w:hAnsi="黑体" w:eastAsia="仿宋_GB2312" w:cs="黑体"/>
                <w:sz w:val="28"/>
                <w:szCs w:val="28"/>
              </w:rPr>
              <w:t>平措达瓦</w:t>
            </w:r>
          </w:p>
        </w:tc>
        <w:tc>
          <w:tcPr>
            <w:tcW w:w="6267" w:type="dxa"/>
            <w:vAlign w:val="center"/>
          </w:tcPr>
          <w:p w14:paraId="1048061C">
            <w:pPr>
              <w:jc w:val="left"/>
              <w:rPr>
                <w:rFonts w:ascii="仿宋_GB2312" w:hAnsi="黑体" w:eastAsia="仿宋_GB2312" w:cs="黑体"/>
                <w:sz w:val="28"/>
                <w:szCs w:val="28"/>
              </w:rPr>
            </w:pPr>
            <w:r>
              <w:rPr>
                <w:rFonts w:hint="eastAsia" w:ascii="仿宋_GB2312" w:hAnsi="黑体" w:eastAsia="仿宋_GB2312" w:cs="黑体"/>
                <w:sz w:val="28"/>
                <w:szCs w:val="28"/>
              </w:rPr>
              <w:t>县城市管理和综合执法局局长</w:t>
            </w:r>
          </w:p>
        </w:tc>
      </w:tr>
      <w:tr w14:paraId="285B2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1128" w:type="dxa"/>
            <w:vMerge w:val="continue"/>
            <w:vAlign w:val="center"/>
          </w:tcPr>
          <w:p w14:paraId="614198FA">
            <w:pPr>
              <w:jc w:val="center"/>
              <w:rPr>
                <w:rFonts w:ascii="仿宋_GB2312" w:hAnsi="黑体" w:eastAsia="仿宋_GB2312" w:cs="黑体"/>
                <w:sz w:val="28"/>
                <w:szCs w:val="28"/>
              </w:rPr>
            </w:pPr>
          </w:p>
        </w:tc>
        <w:tc>
          <w:tcPr>
            <w:tcW w:w="1384" w:type="dxa"/>
            <w:vAlign w:val="center"/>
          </w:tcPr>
          <w:p w14:paraId="2C968836">
            <w:pPr>
              <w:jc w:val="center"/>
              <w:rPr>
                <w:rFonts w:ascii="仿宋_GB2312" w:hAnsi="黑体" w:eastAsia="仿宋_GB2312" w:cs="黑体"/>
                <w:sz w:val="28"/>
                <w:szCs w:val="28"/>
              </w:rPr>
            </w:pPr>
            <w:r>
              <w:rPr>
                <w:rFonts w:hint="eastAsia" w:ascii="仿宋_GB2312" w:hAnsi="黑体" w:eastAsia="仿宋_GB2312" w:cs="黑体"/>
                <w:sz w:val="28"/>
                <w:szCs w:val="28"/>
              </w:rPr>
              <w:t>旺    拉</w:t>
            </w:r>
          </w:p>
        </w:tc>
        <w:tc>
          <w:tcPr>
            <w:tcW w:w="6267" w:type="dxa"/>
            <w:vAlign w:val="center"/>
          </w:tcPr>
          <w:p w14:paraId="25F44DD8">
            <w:pPr>
              <w:jc w:val="left"/>
              <w:rPr>
                <w:rFonts w:ascii="仿宋_GB2312" w:hAnsi="黑体" w:eastAsia="仿宋_GB2312" w:cs="黑体"/>
                <w:sz w:val="28"/>
                <w:szCs w:val="28"/>
              </w:rPr>
            </w:pPr>
            <w:r>
              <w:rPr>
                <w:rFonts w:hint="eastAsia" w:ascii="仿宋_GB2312" w:hAnsi="黑体" w:eastAsia="仿宋_GB2312" w:cs="黑体"/>
                <w:sz w:val="28"/>
                <w:szCs w:val="28"/>
              </w:rPr>
              <w:t>县旅游发展局局长</w:t>
            </w:r>
          </w:p>
        </w:tc>
      </w:tr>
      <w:tr w14:paraId="1EE02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1128" w:type="dxa"/>
            <w:vMerge w:val="continue"/>
            <w:vAlign w:val="center"/>
          </w:tcPr>
          <w:p w14:paraId="4B630DAF">
            <w:pPr>
              <w:jc w:val="center"/>
              <w:rPr>
                <w:rFonts w:ascii="仿宋_GB2312" w:hAnsi="黑体" w:eastAsia="仿宋_GB2312" w:cs="黑体"/>
                <w:sz w:val="28"/>
                <w:szCs w:val="28"/>
              </w:rPr>
            </w:pPr>
          </w:p>
        </w:tc>
        <w:tc>
          <w:tcPr>
            <w:tcW w:w="1384" w:type="dxa"/>
            <w:vAlign w:val="center"/>
          </w:tcPr>
          <w:p w14:paraId="3210D375">
            <w:pPr>
              <w:jc w:val="center"/>
              <w:rPr>
                <w:rFonts w:ascii="仿宋_GB2312" w:hAnsi="黑体" w:eastAsia="仿宋_GB2312" w:cs="黑体"/>
                <w:sz w:val="28"/>
                <w:szCs w:val="28"/>
              </w:rPr>
            </w:pPr>
            <w:r>
              <w:rPr>
                <w:rFonts w:hint="eastAsia" w:ascii="仿宋_GB2312" w:hAnsi="黑体" w:eastAsia="仿宋_GB2312" w:cs="黑体"/>
                <w:sz w:val="28"/>
                <w:szCs w:val="28"/>
              </w:rPr>
              <w:t>拉    旺</w:t>
            </w:r>
          </w:p>
        </w:tc>
        <w:tc>
          <w:tcPr>
            <w:tcW w:w="6267" w:type="dxa"/>
            <w:vAlign w:val="center"/>
          </w:tcPr>
          <w:p w14:paraId="4A8D0406">
            <w:pPr>
              <w:jc w:val="left"/>
              <w:rPr>
                <w:rFonts w:ascii="仿宋_GB2312" w:hAnsi="黑体" w:eastAsia="仿宋_GB2312" w:cs="黑体"/>
                <w:sz w:val="28"/>
                <w:szCs w:val="28"/>
              </w:rPr>
            </w:pPr>
            <w:r>
              <w:rPr>
                <w:rFonts w:hint="eastAsia" w:ascii="仿宋_GB2312" w:hAnsi="黑体" w:eastAsia="仿宋_GB2312" w:cs="黑体"/>
                <w:sz w:val="28"/>
                <w:szCs w:val="28"/>
              </w:rPr>
              <w:t>县审计局局长</w:t>
            </w:r>
          </w:p>
        </w:tc>
      </w:tr>
      <w:tr w14:paraId="123DA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1128" w:type="dxa"/>
            <w:vMerge w:val="continue"/>
            <w:vAlign w:val="center"/>
          </w:tcPr>
          <w:p w14:paraId="19977CBC">
            <w:pPr>
              <w:jc w:val="center"/>
              <w:rPr>
                <w:rFonts w:ascii="仿宋_GB2312" w:hAnsi="黑体" w:eastAsia="仿宋_GB2312" w:cs="黑体"/>
                <w:sz w:val="28"/>
                <w:szCs w:val="28"/>
              </w:rPr>
            </w:pPr>
          </w:p>
        </w:tc>
        <w:tc>
          <w:tcPr>
            <w:tcW w:w="1384" w:type="dxa"/>
            <w:vAlign w:val="center"/>
          </w:tcPr>
          <w:p w14:paraId="6398EBEC">
            <w:pPr>
              <w:jc w:val="center"/>
              <w:rPr>
                <w:rFonts w:ascii="仿宋_GB2312" w:hAnsi="黑体" w:eastAsia="仿宋_GB2312" w:cs="黑体"/>
                <w:sz w:val="28"/>
                <w:szCs w:val="28"/>
              </w:rPr>
            </w:pPr>
            <w:r>
              <w:rPr>
                <w:rFonts w:hint="eastAsia" w:ascii="仿宋_GB2312" w:hAnsi="黑体" w:eastAsia="仿宋_GB2312" w:cs="黑体"/>
                <w:sz w:val="28"/>
                <w:szCs w:val="28"/>
              </w:rPr>
              <w:t>易 阳 雀</w:t>
            </w:r>
          </w:p>
        </w:tc>
        <w:tc>
          <w:tcPr>
            <w:tcW w:w="6267" w:type="dxa"/>
            <w:vAlign w:val="center"/>
          </w:tcPr>
          <w:p w14:paraId="7C9F9C57">
            <w:pPr>
              <w:jc w:val="left"/>
              <w:rPr>
                <w:rFonts w:ascii="仿宋_GB2312" w:hAnsi="黑体" w:eastAsia="仿宋_GB2312" w:cs="黑体"/>
                <w:sz w:val="28"/>
                <w:szCs w:val="28"/>
              </w:rPr>
            </w:pPr>
            <w:r>
              <w:rPr>
                <w:rFonts w:hint="eastAsia" w:ascii="仿宋_GB2312" w:hAnsi="黑体" w:eastAsia="仿宋_GB2312" w:cs="黑体"/>
                <w:sz w:val="28"/>
                <w:szCs w:val="28"/>
              </w:rPr>
              <w:t>县市场监督管理局党组书记、局长</w:t>
            </w:r>
          </w:p>
        </w:tc>
      </w:tr>
      <w:tr w14:paraId="64A6B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1128" w:type="dxa"/>
            <w:vMerge w:val="continue"/>
            <w:vAlign w:val="center"/>
          </w:tcPr>
          <w:p w14:paraId="632726F2">
            <w:pPr>
              <w:jc w:val="center"/>
              <w:rPr>
                <w:rFonts w:ascii="仿宋_GB2312" w:hAnsi="黑体" w:eastAsia="仿宋_GB2312" w:cs="黑体"/>
                <w:sz w:val="28"/>
                <w:szCs w:val="28"/>
              </w:rPr>
            </w:pPr>
          </w:p>
        </w:tc>
        <w:tc>
          <w:tcPr>
            <w:tcW w:w="1384" w:type="dxa"/>
            <w:vAlign w:val="center"/>
          </w:tcPr>
          <w:p w14:paraId="700E03F4">
            <w:pPr>
              <w:jc w:val="center"/>
              <w:rPr>
                <w:rFonts w:ascii="仿宋_GB2312" w:hAnsi="黑体" w:eastAsia="仿宋_GB2312" w:cs="黑体"/>
                <w:sz w:val="28"/>
                <w:szCs w:val="28"/>
              </w:rPr>
            </w:pPr>
            <w:r>
              <w:rPr>
                <w:rFonts w:hint="eastAsia" w:ascii="仿宋_GB2312" w:hAnsi="黑体" w:eastAsia="仿宋_GB2312" w:cs="黑体"/>
                <w:sz w:val="28"/>
                <w:szCs w:val="28"/>
              </w:rPr>
              <w:t>洛桑达瓦</w:t>
            </w:r>
          </w:p>
        </w:tc>
        <w:tc>
          <w:tcPr>
            <w:tcW w:w="6267" w:type="dxa"/>
            <w:vAlign w:val="center"/>
          </w:tcPr>
          <w:p w14:paraId="64BA9303">
            <w:pPr>
              <w:jc w:val="left"/>
              <w:rPr>
                <w:rFonts w:ascii="仿宋_GB2312" w:hAnsi="黑体" w:eastAsia="仿宋_GB2312" w:cs="黑体"/>
                <w:sz w:val="28"/>
                <w:szCs w:val="28"/>
              </w:rPr>
            </w:pPr>
            <w:r>
              <w:rPr>
                <w:rFonts w:hint="eastAsia" w:ascii="仿宋_GB2312" w:hAnsi="黑体" w:eastAsia="仿宋_GB2312" w:cs="黑体"/>
                <w:sz w:val="28"/>
                <w:szCs w:val="28"/>
              </w:rPr>
              <w:t>县文化局副局长</w:t>
            </w:r>
          </w:p>
        </w:tc>
      </w:tr>
      <w:tr w14:paraId="05D30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1128" w:type="dxa"/>
            <w:vMerge w:val="continue"/>
            <w:vAlign w:val="center"/>
          </w:tcPr>
          <w:p w14:paraId="6C00AFBB">
            <w:pPr>
              <w:jc w:val="center"/>
              <w:rPr>
                <w:rFonts w:ascii="仿宋_GB2312" w:hAnsi="黑体" w:eastAsia="仿宋_GB2312" w:cs="黑体"/>
                <w:sz w:val="28"/>
                <w:szCs w:val="28"/>
              </w:rPr>
            </w:pPr>
          </w:p>
        </w:tc>
        <w:tc>
          <w:tcPr>
            <w:tcW w:w="1384" w:type="dxa"/>
            <w:vAlign w:val="center"/>
          </w:tcPr>
          <w:p w14:paraId="71629456">
            <w:pPr>
              <w:jc w:val="center"/>
              <w:rPr>
                <w:rFonts w:ascii="仿宋_GB2312" w:hAnsi="黑体" w:eastAsia="仿宋_GB2312" w:cs="黑体"/>
                <w:sz w:val="28"/>
                <w:szCs w:val="28"/>
              </w:rPr>
            </w:pPr>
            <w:r>
              <w:rPr>
                <w:rFonts w:hint="eastAsia" w:ascii="仿宋_GB2312" w:hAnsi="黑体" w:eastAsia="仿宋_GB2312" w:cs="黑体"/>
                <w:sz w:val="28"/>
                <w:szCs w:val="28"/>
              </w:rPr>
              <w:t>汤 金 华</w:t>
            </w:r>
          </w:p>
        </w:tc>
        <w:tc>
          <w:tcPr>
            <w:tcW w:w="6267" w:type="dxa"/>
            <w:vAlign w:val="center"/>
          </w:tcPr>
          <w:p w14:paraId="6DE1ADBC">
            <w:pPr>
              <w:jc w:val="left"/>
              <w:rPr>
                <w:rFonts w:ascii="仿宋_GB2312" w:hAnsi="黑体" w:eastAsia="仿宋_GB2312" w:cs="黑体"/>
                <w:sz w:val="28"/>
                <w:szCs w:val="28"/>
              </w:rPr>
            </w:pPr>
            <w:r>
              <w:rPr>
                <w:rFonts w:hint="eastAsia" w:ascii="仿宋_GB2312" w:hAnsi="黑体" w:eastAsia="仿宋_GB2312" w:cs="黑体"/>
                <w:sz w:val="28"/>
                <w:szCs w:val="28"/>
              </w:rPr>
              <w:t>县统计局局长</w:t>
            </w:r>
          </w:p>
        </w:tc>
      </w:tr>
      <w:tr w14:paraId="5B32C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1128" w:type="dxa"/>
            <w:vMerge w:val="continue"/>
            <w:vAlign w:val="center"/>
          </w:tcPr>
          <w:p w14:paraId="0BCBCE25">
            <w:pPr>
              <w:jc w:val="center"/>
              <w:rPr>
                <w:rFonts w:ascii="仿宋_GB2312" w:hAnsi="黑体" w:eastAsia="仿宋_GB2312" w:cs="黑体"/>
                <w:sz w:val="28"/>
                <w:szCs w:val="28"/>
              </w:rPr>
            </w:pPr>
          </w:p>
        </w:tc>
        <w:tc>
          <w:tcPr>
            <w:tcW w:w="1384" w:type="dxa"/>
            <w:vAlign w:val="center"/>
          </w:tcPr>
          <w:p w14:paraId="24B02B9F">
            <w:pPr>
              <w:jc w:val="center"/>
              <w:rPr>
                <w:rFonts w:ascii="仿宋_GB2312" w:hAnsi="黑体" w:eastAsia="仿宋_GB2312" w:cs="黑体"/>
                <w:sz w:val="28"/>
                <w:szCs w:val="28"/>
              </w:rPr>
            </w:pPr>
            <w:r>
              <w:rPr>
                <w:rFonts w:hint="eastAsia" w:ascii="仿宋_GB2312" w:hAnsi="黑体" w:eastAsia="仿宋_GB2312" w:cs="黑体"/>
                <w:sz w:val="28"/>
                <w:szCs w:val="28"/>
              </w:rPr>
              <w:t>姜 子 平</w:t>
            </w:r>
          </w:p>
        </w:tc>
        <w:tc>
          <w:tcPr>
            <w:tcW w:w="6267" w:type="dxa"/>
            <w:vAlign w:val="center"/>
          </w:tcPr>
          <w:p w14:paraId="158645DC">
            <w:pPr>
              <w:jc w:val="left"/>
              <w:rPr>
                <w:rFonts w:ascii="仿宋_GB2312" w:hAnsi="黑体" w:eastAsia="仿宋_GB2312" w:cs="黑体"/>
                <w:sz w:val="28"/>
                <w:szCs w:val="28"/>
              </w:rPr>
            </w:pPr>
            <w:r>
              <w:rPr>
                <w:rFonts w:hint="eastAsia" w:ascii="仿宋_GB2312" w:hAnsi="黑体" w:eastAsia="仿宋_GB2312" w:cs="黑体"/>
                <w:sz w:val="28"/>
                <w:szCs w:val="28"/>
              </w:rPr>
              <w:t>县气象局局长</w:t>
            </w:r>
          </w:p>
        </w:tc>
      </w:tr>
      <w:tr w14:paraId="21AA7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1128" w:type="dxa"/>
            <w:vMerge w:val="continue"/>
            <w:vAlign w:val="center"/>
          </w:tcPr>
          <w:p w14:paraId="46F929A1">
            <w:pPr>
              <w:jc w:val="center"/>
              <w:rPr>
                <w:rFonts w:ascii="仿宋_GB2312" w:hAnsi="黑体" w:eastAsia="仿宋_GB2312" w:cs="黑体"/>
                <w:sz w:val="28"/>
                <w:szCs w:val="28"/>
              </w:rPr>
            </w:pPr>
          </w:p>
        </w:tc>
        <w:tc>
          <w:tcPr>
            <w:tcW w:w="1384" w:type="dxa"/>
            <w:vAlign w:val="center"/>
          </w:tcPr>
          <w:p w14:paraId="5FBED85B">
            <w:pPr>
              <w:jc w:val="center"/>
              <w:rPr>
                <w:rFonts w:ascii="仿宋_GB2312" w:hAnsi="黑体" w:eastAsia="仿宋_GB2312" w:cs="黑体"/>
                <w:sz w:val="28"/>
                <w:szCs w:val="28"/>
              </w:rPr>
            </w:pPr>
            <w:r>
              <w:rPr>
                <w:rFonts w:hint="eastAsia" w:ascii="仿宋_GB2312" w:hAnsi="黑体" w:eastAsia="仿宋_GB2312" w:cs="黑体"/>
                <w:sz w:val="28"/>
                <w:szCs w:val="28"/>
              </w:rPr>
              <w:t>桑 周 吉</w:t>
            </w:r>
          </w:p>
        </w:tc>
        <w:tc>
          <w:tcPr>
            <w:tcW w:w="6267" w:type="dxa"/>
            <w:vAlign w:val="center"/>
          </w:tcPr>
          <w:p w14:paraId="377F1737">
            <w:pPr>
              <w:jc w:val="left"/>
              <w:rPr>
                <w:rFonts w:ascii="仿宋_GB2312" w:hAnsi="黑体" w:eastAsia="仿宋_GB2312" w:cs="黑体"/>
                <w:sz w:val="28"/>
                <w:szCs w:val="28"/>
              </w:rPr>
            </w:pPr>
            <w:r>
              <w:rPr>
                <w:rFonts w:hint="eastAsia" w:ascii="仿宋_GB2312" w:hAnsi="黑体" w:eastAsia="仿宋_GB2312" w:cs="黑体"/>
                <w:sz w:val="28"/>
                <w:szCs w:val="28"/>
              </w:rPr>
              <w:t>县电视台台长</w:t>
            </w:r>
          </w:p>
        </w:tc>
      </w:tr>
      <w:tr w14:paraId="7F041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1128" w:type="dxa"/>
            <w:vMerge w:val="continue"/>
            <w:vAlign w:val="center"/>
          </w:tcPr>
          <w:p w14:paraId="22E41563">
            <w:pPr>
              <w:jc w:val="center"/>
              <w:rPr>
                <w:rFonts w:ascii="仿宋_GB2312" w:hAnsi="黑体" w:eastAsia="仿宋_GB2312" w:cs="黑体"/>
                <w:sz w:val="28"/>
                <w:szCs w:val="28"/>
              </w:rPr>
            </w:pPr>
          </w:p>
        </w:tc>
        <w:tc>
          <w:tcPr>
            <w:tcW w:w="7651" w:type="dxa"/>
            <w:gridSpan w:val="2"/>
            <w:vAlign w:val="center"/>
          </w:tcPr>
          <w:p w14:paraId="231530F6">
            <w:pPr>
              <w:rPr>
                <w:rFonts w:ascii="仿宋_GB2312" w:hAnsi="黑体" w:eastAsia="仿宋_GB2312" w:cs="黑体"/>
                <w:sz w:val="28"/>
                <w:szCs w:val="28"/>
              </w:rPr>
            </w:pPr>
            <w:r>
              <w:rPr>
                <w:rFonts w:hint="eastAsia" w:ascii="仿宋_GB2312" w:hAnsi="黑体" w:eastAsia="仿宋_GB2312" w:cs="黑体"/>
                <w:sz w:val="28"/>
                <w:szCs w:val="28"/>
              </w:rPr>
              <w:t>11乡(镇)党委书记、乡(镇)长</w:t>
            </w:r>
          </w:p>
        </w:tc>
      </w:tr>
    </w:tbl>
    <w:p w14:paraId="5B054915">
      <w:pPr>
        <w:ind w:firstLine="640"/>
        <w:rPr>
          <w:rFonts w:ascii="仿宋_GB2312" w:hAnsi="黑体" w:eastAsia="仿宋_GB2312" w:cs="黑体"/>
          <w:sz w:val="30"/>
          <w:szCs w:val="30"/>
        </w:rPr>
      </w:pPr>
      <w:r>
        <w:rPr>
          <w:rFonts w:hint="eastAsia" w:ascii="仿宋_GB2312" w:hAnsi="黑体" w:eastAsia="仿宋_GB2312" w:cs="黑体"/>
          <w:sz w:val="30"/>
          <w:szCs w:val="30"/>
        </w:rPr>
        <w:t>领导小组下设办公室，办公室在昌都市生态环境局洛隆分局，由陈林群培同志兼任办公室主任，负责领导小组日常具体工作，承担组织、协调、推进国家生态文明建设示范县创建等工作。</w:t>
      </w:r>
    </w:p>
    <w:p w14:paraId="74D19972">
      <w:pPr>
        <w:widowControl/>
        <w:spacing w:before="156" w:beforeLines="50" w:line="580" w:lineRule="exact"/>
        <w:ind w:firstLine="640" w:firstLineChars="200"/>
        <w:rPr>
          <w:rFonts w:ascii="仿宋_GB2312" w:hAnsi="黑体" w:eastAsia="仿宋_GB2312" w:cs="黑体"/>
          <w:sz w:val="32"/>
          <w:szCs w:val="32"/>
        </w:rPr>
      </w:pPr>
    </w:p>
    <w:p w14:paraId="27F89D0E">
      <w:pPr>
        <w:widowControl/>
        <w:jc w:val="left"/>
        <w:rPr>
          <w:rFonts w:ascii="Times New Roman" w:hAnsi="Times New Roman" w:cs="Times New Roman"/>
        </w:rPr>
      </w:pPr>
    </w:p>
    <w:bookmarkEnd w:id="0"/>
    <w:p w14:paraId="07ADF8A2">
      <w:pPr>
        <w:widowControl/>
        <w:jc w:val="left"/>
        <w:rPr>
          <w:rFonts w:ascii="Times New Roman" w:hAnsi="Times New Roman" w:cs="Times New Roman"/>
        </w:rPr>
      </w:pPr>
    </w:p>
    <w:p w14:paraId="38280A76">
      <w:pPr>
        <w:widowControl/>
        <w:jc w:val="left"/>
        <w:rPr>
          <w:rFonts w:ascii="Times New Roman" w:hAnsi="Times New Roman" w:cs="Times New Roman"/>
        </w:rPr>
      </w:pPr>
    </w:p>
    <w:p w14:paraId="255A6BB8">
      <w:pPr>
        <w:spacing w:line="580" w:lineRule="exact"/>
        <w:jc w:val="center"/>
        <w:rPr>
          <w:rFonts w:ascii="Times New Roman" w:hAnsi="Times New Roman" w:eastAsia="方正小标宋简体" w:cs="Times New Roman"/>
          <w:sz w:val="44"/>
          <w:szCs w:val="44"/>
        </w:rPr>
        <w:sectPr>
          <w:footerReference r:id="rId4" w:type="default"/>
          <w:pgSz w:w="11906" w:h="16838"/>
          <w:pgMar w:top="1440" w:right="1701" w:bottom="1440" w:left="1758" w:header="851" w:footer="992" w:gutter="0"/>
          <w:pgNumType w:fmt="upperRoman" w:start="1"/>
          <w:cols w:space="425" w:num="1"/>
          <w:docGrid w:type="linesAndChars" w:linePitch="312" w:charSpace="0"/>
        </w:sectPr>
      </w:pPr>
    </w:p>
    <w:p w14:paraId="189D864F">
      <w:pPr>
        <w:pStyle w:val="27"/>
      </w:pPr>
    </w:p>
    <w:sdt>
      <w:sdtPr>
        <w:rPr>
          <w:rFonts w:ascii="Times New Roman" w:hAnsi="Times New Roman" w:eastAsia="黑体" w:cs="Times New Roman"/>
          <w:b/>
          <w:bCs/>
          <w:kern w:val="44"/>
          <w:sz w:val="36"/>
          <w:szCs w:val="36"/>
          <w:lang w:val="zh-CN"/>
        </w:rPr>
        <w:id w:val="147471829"/>
        <w15:color w:val="DBDBDB"/>
        <w:docPartObj>
          <w:docPartGallery w:val="Table of Contents"/>
          <w:docPartUnique/>
        </w:docPartObj>
      </w:sdtPr>
      <w:sdtEndPr>
        <w:rPr>
          <w:rFonts w:ascii="Times New Roman" w:hAnsi="Times New Roman" w:eastAsia="黑体" w:cs="Times New Roman"/>
          <w:b/>
          <w:bCs/>
          <w:kern w:val="44"/>
          <w:sz w:val="36"/>
          <w:szCs w:val="36"/>
          <w:lang w:val="zh-CN"/>
        </w:rPr>
      </w:sdtEndPr>
      <w:sdtContent>
        <w:p w14:paraId="6E3651F3">
          <w:pPr>
            <w:jc w:val="center"/>
            <w:rPr>
              <w:rFonts w:ascii="Times New Roman" w:hAnsi="Times New Roman" w:cs="Times New Roman"/>
              <w:b/>
              <w:sz w:val="36"/>
              <w:szCs w:val="36"/>
            </w:rPr>
          </w:pPr>
          <w:r>
            <w:rPr>
              <w:rFonts w:hint="eastAsia" w:ascii="Times New Roman" w:hAnsi="Times New Roman" w:cs="Times New Roman"/>
              <w:b/>
              <w:sz w:val="36"/>
              <w:szCs w:val="36"/>
            </w:rPr>
            <w:t>目</w:t>
          </w:r>
          <w:r>
            <w:rPr>
              <w:rFonts w:ascii="Times New Roman" w:hAnsi="Times New Roman" w:cs="Times New Roman"/>
              <w:b/>
              <w:sz w:val="36"/>
              <w:szCs w:val="36"/>
            </w:rPr>
            <w:t xml:space="preserve">  </w:t>
          </w:r>
          <w:r>
            <w:rPr>
              <w:rFonts w:hint="eastAsia" w:ascii="Times New Roman" w:hAnsi="Times New Roman" w:cs="Times New Roman"/>
              <w:b/>
              <w:sz w:val="36"/>
              <w:szCs w:val="36"/>
            </w:rPr>
            <w:t>录</w:t>
          </w:r>
        </w:p>
        <w:p w14:paraId="34F2BB88">
          <w:pPr>
            <w:pStyle w:val="30"/>
            <w:tabs>
              <w:tab w:val="right" w:leader="dot" w:pos="8447"/>
              <w:tab w:val="clear" w:pos="8302"/>
            </w:tabs>
            <w:spacing w:line="480" w:lineRule="exact"/>
            <w:rPr>
              <w:rFonts w:ascii="宋体" w:hAnsi="宋体" w:eastAsia="宋体" w:cs="宋体"/>
            </w:rPr>
          </w:pPr>
          <w:r>
            <w:rPr>
              <w:rFonts w:hint="eastAsia" w:ascii="宋体" w:hAnsi="宋体" w:eastAsia="宋体" w:cs="宋体"/>
              <w:b w:val="0"/>
              <w:kern w:val="0"/>
            </w:rPr>
            <w:fldChar w:fldCharType="begin"/>
          </w:r>
          <w:r>
            <w:rPr>
              <w:rFonts w:hint="eastAsia" w:ascii="宋体" w:hAnsi="宋体" w:eastAsia="宋体" w:cs="宋体"/>
            </w:rPr>
            <w:instrText xml:space="preserve">TOC \o "1-2" \h \u </w:instrText>
          </w:r>
          <w:r>
            <w:rPr>
              <w:rFonts w:hint="eastAsia" w:ascii="宋体" w:hAnsi="宋体" w:eastAsia="宋体" w:cs="宋体"/>
              <w:b w:val="0"/>
              <w:kern w:val="0"/>
            </w:rPr>
            <w:fldChar w:fldCharType="separate"/>
          </w:r>
          <w:r>
            <w:fldChar w:fldCharType="begin"/>
          </w:r>
          <w:r>
            <w:instrText xml:space="preserve"> HYPERLINK \l "_Toc5443" </w:instrText>
          </w:r>
          <w:r>
            <w:fldChar w:fldCharType="separate"/>
          </w:r>
          <w:r>
            <w:rPr>
              <w:rFonts w:hint="eastAsia" w:ascii="宋体" w:hAnsi="宋体" w:eastAsia="宋体" w:cs="宋体"/>
            </w:rPr>
            <w:t>前  言</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_Toc5443 \h </w:instrText>
          </w:r>
          <w:r>
            <w:rPr>
              <w:rFonts w:hint="eastAsia" w:ascii="宋体" w:hAnsi="宋体" w:eastAsia="宋体" w:cs="宋体"/>
            </w:rPr>
            <w:fldChar w:fldCharType="separate"/>
          </w:r>
          <w:r>
            <w:rPr>
              <w:rFonts w:ascii="宋体" w:hAnsi="宋体" w:eastAsia="宋体" w:cs="宋体"/>
            </w:rPr>
            <w:t>1</w:t>
          </w:r>
          <w:r>
            <w:rPr>
              <w:rFonts w:hint="eastAsia" w:ascii="宋体" w:hAnsi="宋体" w:eastAsia="宋体" w:cs="宋体"/>
            </w:rPr>
            <w:fldChar w:fldCharType="end"/>
          </w:r>
          <w:r>
            <w:rPr>
              <w:rFonts w:hint="eastAsia" w:ascii="宋体" w:hAnsi="宋体" w:eastAsia="宋体" w:cs="宋体"/>
            </w:rPr>
            <w:fldChar w:fldCharType="end"/>
          </w:r>
        </w:p>
        <w:p w14:paraId="5F112BBE">
          <w:pPr>
            <w:pStyle w:val="30"/>
            <w:tabs>
              <w:tab w:val="right" w:leader="dot" w:pos="8447"/>
              <w:tab w:val="clear" w:pos="8302"/>
            </w:tabs>
            <w:spacing w:line="480" w:lineRule="exact"/>
            <w:rPr>
              <w:rFonts w:ascii="宋体" w:hAnsi="宋体" w:eastAsia="宋体" w:cs="宋体"/>
            </w:rPr>
          </w:pPr>
          <w:r>
            <w:fldChar w:fldCharType="begin"/>
          </w:r>
          <w:r>
            <w:instrText xml:space="preserve"> HYPERLINK \l "_Toc30332" </w:instrText>
          </w:r>
          <w:r>
            <w:fldChar w:fldCharType="separate"/>
          </w:r>
          <w:r>
            <w:rPr>
              <w:rFonts w:hint="eastAsia" w:ascii="宋体" w:hAnsi="宋体" w:eastAsia="宋体" w:cs="宋体"/>
            </w:rPr>
            <w:t>第一章 基础条件与形势分析</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_Toc30332 \h </w:instrText>
          </w:r>
          <w:r>
            <w:rPr>
              <w:rFonts w:hint="eastAsia" w:ascii="宋体" w:hAnsi="宋体" w:eastAsia="宋体" w:cs="宋体"/>
            </w:rPr>
            <w:fldChar w:fldCharType="separate"/>
          </w:r>
          <w:r>
            <w:rPr>
              <w:rFonts w:ascii="宋体" w:hAnsi="宋体" w:eastAsia="宋体" w:cs="宋体"/>
            </w:rPr>
            <w:t>2</w:t>
          </w:r>
          <w:r>
            <w:rPr>
              <w:rFonts w:hint="eastAsia" w:ascii="宋体" w:hAnsi="宋体" w:eastAsia="宋体" w:cs="宋体"/>
            </w:rPr>
            <w:fldChar w:fldCharType="end"/>
          </w:r>
          <w:r>
            <w:rPr>
              <w:rFonts w:hint="eastAsia" w:ascii="宋体" w:hAnsi="宋体" w:eastAsia="宋体" w:cs="宋体"/>
            </w:rPr>
            <w:fldChar w:fldCharType="end"/>
          </w:r>
        </w:p>
        <w:p w14:paraId="30C801F9">
          <w:pPr>
            <w:pStyle w:val="35"/>
            <w:tabs>
              <w:tab w:val="right" w:leader="dot" w:pos="8447"/>
            </w:tabs>
            <w:spacing w:line="480" w:lineRule="exact"/>
            <w:rPr>
              <w:rFonts w:ascii="宋体" w:hAnsi="宋体" w:eastAsia="宋体" w:cs="宋体"/>
              <w:sz w:val="28"/>
              <w:szCs w:val="28"/>
            </w:rPr>
          </w:pPr>
          <w:r>
            <w:fldChar w:fldCharType="begin"/>
          </w:r>
          <w:r>
            <w:instrText xml:space="preserve"> HYPERLINK \l "_Toc3696" </w:instrText>
          </w:r>
          <w:r>
            <w:fldChar w:fldCharType="separate"/>
          </w:r>
          <w:r>
            <w:rPr>
              <w:rFonts w:hint="eastAsia" w:ascii="宋体" w:hAnsi="宋体" w:eastAsia="宋体" w:cs="宋体"/>
              <w:bCs/>
              <w:sz w:val="28"/>
              <w:szCs w:val="28"/>
            </w:rPr>
            <w:t>第一节  工作基础</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_Toc3696 \h </w:instrText>
          </w:r>
          <w:r>
            <w:rPr>
              <w:rFonts w:hint="eastAsia" w:ascii="宋体" w:hAnsi="宋体" w:eastAsia="宋体" w:cs="宋体"/>
              <w:sz w:val="28"/>
              <w:szCs w:val="28"/>
            </w:rPr>
            <w:fldChar w:fldCharType="separate"/>
          </w:r>
          <w:r>
            <w:rPr>
              <w:rFonts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04008128">
          <w:pPr>
            <w:pStyle w:val="35"/>
            <w:tabs>
              <w:tab w:val="right" w:leader="dot" w:pos="8447"/>
            </w:tabs>
            <w:spacing w:line="480" w:lineRule="exact"/>
            <w:rPr>
              <w:rFonts w:ascii="宋体" w:hAnsi="宋体" w:eastAsia="宋体" w:cs="宋体"/>
              <w:sz w:val="28"/>
              <w:szCs w:val="28"/>
            </w:rPr>
          </w:pPr>
          <w:r>
            <w:fldChar w:fldCharType="begin"/>
          </w:r>
          <w:r>
            <w:instrText xml:space="preserve"> HYPERLINK \l "_Toc26410" </w:instrText>
          </w:r>
          <w:r>
            <w:fldChar w:fldCharType="separate"/>
          </w:r>
          <w:r>
            <w:rPr>
              <w:rFonts w:hint="eastAsia" w:ascii="宋体" w:hAnsi="宋体" w:eastAsia="宋体" w:cs="宋体"/>
              <w:bCs/>
              <w:sz w:val="28"/>
              <w:szCs w:val="28"/>
            </w:rPr>
            <w:t>第二节  制约因素</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_Toc26410 \h </w:instrText>
          </w:r>
          <w:r>
            <w:rPr>
              <w:rFonts w:hint="eastAsia" w:ascii="宋体" w:hAnsi="宋体" w:eastAsia="宋体" w:cs="宋体"/>
              <w:sz w:val="28"/>
              <w:szCs w:val="28"/>
            </w:rPr>
            <w:fldChar w:fldCharType="separate"/>
          </w:r>
          <w:r>
            <w:rPr>
              <w:rFonts w:ascii="宋体" w:hAnsi="宋体" w:eastAsia="宋体" w:cs="宋体"/>
              <w:sz w:val="28"/>
              <w:szCs w:val="28"/>
            </w:rPr>
            <w:t>5</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22678AE3">
          <w:pPr>
            <w:pStyle w:val="35"/>
            <w:tabs>
              <w:tab w:val="right" w:leader="dot" w:pos="8447"/>
            </w:tabs>
            <w:spacing w:line="480" w:lineRule="exact"/>
            <w:rPr>
              <w:rFonts w:ascii="宋体" w:hAnsi="宋体" w:eastAsia="宋体" w:cs="宋体"/>
              <w:sz w:val="28"/>
              <w:szCs w:val="28"/>
            </w:rPr>
          </w:pPr>
          <w:r>
            <w:fldChar w:fldCharType="begin"/>
          </w:r>
          <w:r>
            <w:instrText xml:space="preserve"> HYPERLINK \l "_Toc16619" </w:instrText>
          </w:r>
          <w:r>
            <w:fldChar w:fldCharType="separate"/>
          </w:r>
          <w:r>
            <w:rPr>
              <w:rFonts w:hint="eastAsia" w:ascii="宋体" w:hAnsi="宋体" w:eastAsia="宋体" w:cs="宋体"/>
              <w:bCs/>
              <w:sz w:val="28"/>
              <w:szCs w:val="28"/>
            </w:rPr>
            <w:t>第三节  机遇与挑战</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_Toc16619 \h </w:instrText>
          </w:r>
          <w:r>
            <w:rPr>
              <w:rFonts w:hint="eastAsia" w:ascii="宋体" w:hAnsi="宋体" w:eastAsia="宋体" w:cs="宋体"/>
              <w:sz w:val="28"/>
              <w:szCs w:val="28"/>
            </w:rPr>
            <w:fldChar w:fldCharType="separate"/>
          </w:r>
          <w:r>
            <w:rPr>
              <w:rFonts w:ascii="宋体" w:hAnsi="宋体" w:eastAsia="宋体" w:cs="宋体"/>
              <w:sz w:val="28"/>
              <w:szCs w:val="28"/>
            </w:rPr>
            <w:t>8</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7947F882">
          <w:pPr>
            <w:pStyle w:val="30"/>
            <w:tabs>
              <w:tab w:val="right" w:leader="dot" w:pos="8447"/>
              <w:tab w:val="clear" w:pos="8302"/>
            </w:tabs>
            <w:spacing w:line="480" w:lineRule="exact"/>
            <w:rPr>
              <w:rFonts w:ascii="宋体" w:hAnsi="宋体" w:eastAsia="宋体" w:cs="宋体"/>
            </w:rPr>
          </w:pPr>
          <w:r>
            <w:fldChar w:fldCharType="begin"/>
          </w:r>
          <w:r>
            <w:instrText xml:space="preserve"> HYPERLINK \l "_Toc30410" </w:instrText>
          </w:r>
          <w:r>
            <w:fldChar w:fldCharType="separate"/>
          </w:r>
          <w:r>
            <w:rPr>
              <w:rFonts w:hint="eastAsia" w:ascii="宋体" w:hAnsi="宋体" w:eastAsia="宋体" w:cs="宋体"/>
            </w:rPr>
            <w:t>第二章 指导思想与目标</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_Toc30410 \h </w:instrText>
          </w:r>
          <w:r>
            <w:rPr>
              <w:rFonts w:hint="eastAsia" w:ascii="宋体" w:hAnsi="宋体" w:eastAsia="宋体" w:cs="宋体"/>
            </w:rPr>
            <w:fldChar w:fldCharType="separate"/>
          </w:r>
          <w:r>
            <w:rPr>
              <w:rFonts w:ascii="宋体" w:hAnsi="宋体" w:eastAsia="宋体" w:cs="宋体"/>
            </w:rPr>
            <w:t>14</w:t>
          </w:r>
          <w:r>
            <w:rPr>
              <w:rFonts w:hint="eastAsia" w:ascii="宋体" w:hAnsi="宋体" w:eastAsia="宋体" w:cs="宋体"/>
            </w:rPr>
            <w:fldChar w:fldCharType="end"/>
          </w:r>
          <w:r>
            <w:rPr>
              <w:rFonts w:hint="eastAsia" w:ascii="宋体" w:hAnsi="宋体" w:eastAsia="宋体" w:cs="宋体"/>
            </w:rPr>
            <w:fldChar w:fldCharType="end"/>
          </w:r>
        </w:p>
        <w:p w14:paraId="59158F75">
          <w:pPr>
            <w:pStyle w:val="35"/>
            <w:tabs>
              <w:tab w:val="right" w:leader="dot" w:pos="8447"/>
            </w:tabs>
            <w:spacing w:line="480" w:lineRule="exact"/>
            <w:rPr>
              <w:rFonts w:ascii="宋体" w:hAnsi="宋体" w:eastAsia="宋体" w:cs="宋体"/>
              <w:sz w:val="28"/>
              <w:szCs w:val="28"/>
            </w:rPr>
          </w:pPr>
          <w:r>
            <w:fldChar w:fldCharType="begin"/>
          </w:r>
          <w:r>
            <w:instrText xml:space="preserve"> HYPERLINK \l "_Toc32501" </w:instrText>
          </w:r>
          <w:r>
            <w:fldChar w:fldCharType="separate"/>
          </w:r>
          <w:r>
            <w:rPr>
              <w:rFonts w:hint="eastAsia" w:ascii="宋体" w:hAnsi="宋体" w:eastAsia="宋体" w:cs="宋体"/>
              <w:bCs/>
              <w:sz w:val="28"/>
              <w:szCs w:val="28"/>
            </w:rPr>
            <w:t>第一节  指导思想</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_Toc32501 \h </w:instrText>
          </w:r>
          <w:r>
            <w:rPr>
              <w:rFonts w:hint="eastAsia" w:ascii="宋体" w:hAnsi="宋体" w:eastAsia="宋体" w:cs="宋体"/>
              <w:sz w:val="28"/>
              <w:szCs w:val="28"/>
            </w:rPr>
            <w:fldChar w:fldCharType="separate"/>
          </w:r>
          <w:r>
            <w:rPr>
              <w:rFonts w:ascii="宋体" w:hAnsi="宋体" w:eastAsia="宋体" w:cs="宋体"/>
              <w:sz w:val="28"/>
              <w:szCs w:val="28"/>
            </w:rPr>
            <w:t>14</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2B2D5BA3">
          <w:pPr>
            <w:pStyle w:val="35"/>
            <w:tabs>
              <w:tab w:val="right" w:leader="dot" w:pos="8447"/>
            </w:tabs>
            <w:spacing w:line="480" w:lineRule="exact"/>
            <w:rPr>
              <w:rFonts w:ascii="宋体" w:hAnsi="宋体" w:eastAsia="宋体" w:cs="宋体"/>
              <w:sz w:val="28"/>
              <w:szCs w:val="28"/>
            </w:rPr>
          </w:pPr>
          <w:r>
            <w:fldChar w:fldCharType="begin"/>
          </w:r>
          <w:r>
            <w:instrText xml:space="preserve"> HYPERLINK \l "_Toc20368" </w:instrText>
          </w:r>
          <w:r>
            <w:fldChar w:fldCharType="separate"/>
          </w:r>
          <w:r>
            <w:rPr>
              <w:rFonts w:hint="eastAsia" w:ascii="宋体" w:hAnsi="宋体" w:eastAsia="宋体" w:cs="宋体"/>
              <w:bCs/>
              <w:sz w:val="28"/>
              <w:szCs w:val="28"/>
            </w:rPr>
            <w:t>第二节  基本原则</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_Toc20368 \h </w:instrText>
          </w:r>
          <w:r>
            <w:rPr>
              <w:rFonts w:hint="eastAsia" w:ascii="宋体" w:hAnsi="宋体" w:eastAsia="宋体" w:cs="宋体"/>
              <w:sz w:val="28"/>
              <w:szCs w:val="28"/>
            </w:rPr>
            <w:fldChar w:fldCharType="separate"/>
          </w:r>
          <w:r>
            <w:rPr>
              <w:rFonts w:ascii="宋体" w:hAnsi="宋体" w:eastAsia="宋体" w:cs="宋体"/>
              <w:sz w:val="28"/>
              <w:szCs w:val="28"/>
            </w:rPr>
            <w:t>14</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062157C8">
          <w:pPr>
            <w:pStyle w:val="35"/>
            <w:tabs>
              <w:tab w:val="right" w:leader="dot" w:pos="8447"/>
            </w:tabs>
            <w:spacing w:line="480" w:lineRule="exact"/>
            <w:rPr>
              <w:rFonts w:ascii="宋体" w:hAnsi="宋体" w:eastAsia="宋体" w:cs="宋体"/>
              <w:sz w:val="28"/>
              <w:szCs w:val="28"/>
            </w:rPr>
          </w:pPr>
          <w:r>
            <w:fldChar w:fldCharType="begin"/>
          </w:r>
          <w:r>
            <w:instrText xml:space="preserve"> HYPERLINK \l "_Toc12061" </w:instrText>
          </w:r>
          <w:r>
            <w:fldChar w:fldCharType="separate"/>
          </w:r>
          <w:r>
            <w:rPr>
              <w:rFonts w:hint="eastAsia" w:ascii="宋体" w:hAnsi="宋体" w:eastAsia="宋体" w:cs="宋体"/>
              <w:bCs/>
              <w:sz w:val="28"/>
              <w:szCs w:val="28"/>
            </w:rPr>
            <w:t>第三节  战略定位</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_Toc12061 \h </w:instrText>
          </w:r>
          <w:r>
            <w:rPr>
              <w:rFonts w:hint="eastAsia" w:ascii="宋体" w:hAnsi="宋体" w:eastAsia="宋体" w:cs="宋体"/>
              <w:sz w:val="28"/>
              <w:szCs w:val="28"/>
            </w:rPr>
            <w:fldChar w:fldCharType="separate"/>
          </w:r>
          <w:r>
            <w:rPr>
              <w:rFonts w:ascii="宋体" w:hAnsi="宋体" w:eastAsia="宋体" w:cs="宋体"/>
              <w:sz w:val="28"/>
              <w:szCs w:val="28"/>
            </w:rPr>
            <w:t>16</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483145C8">
          <w:pPr>
            <w:pStyle w:val="35"/>
            <w:tabs>
              <w:tab w:val="right" w:leader="dot" w:pos="8447"/>
            </w:tabs>
            <w:spacing w:line="480" w:lineRule="exact"/>
            <w:rPr>
              <w:rFonts w:ascii="宋体" w:hAnsi="宋体" w:eastAsia="宋体" w:cs="宋体"/>
              <w:sz w:val="28"/>
              <w:szCs w:val="28"/>
            </w:rPr>
          </w:pPr>
          <w:r>
            <w:fldChar w:fldCharType="begin"/>
          </w:r>
          <w:r>
            <w:instrText xml:space="preserve"> HYPERLINK \l "_Toc13900" </w:instrText>
          </w:r>
          <w:r>
            <w:fldChar w:fldCharType="separate"/>
          </w:r>
          <w:r>
            <w:rPr>
              <w:rFonts w:hint="eastAsia" w:ascii="宋体" w:hAnsi="宋体" w:eastAsia="宋体" w:cs="宋体"/>
              <w:bCs/>
              <w:sz w:val="28"/>
              <w:szCs w:val="28"/>
            </w:rPr>
            <w:t>第四节  规划目标</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_Toc13900 \h </w:instrText>
          </w:r>
          <w:r>
            <w:rPr>
              <w:rFonts w:hint="eastAsia" w:ascii="宋体" w:hAnsi="宋体" w:eastAsia="宋体" w:cs="宋体"/>
              <w:sz w:val="28"/>
              <w:szCs w:val="28"/>
            </w:rPr>
            <w:fldChar w:fldCharType="separate"/>
          </w:r>
          <w:r>
            <w:rPr>
              <w:rFonts w:ascii="宋体" w:hAnsi="宋体" w:eastAsia="宋体" w:cs="宋体"/>
              <w:sz w:val="28"/>
              <w:szCs w:val="28"/>
            </w:rPr>
            <w:t>17</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254EF75A">
          <w:pPr>
            <w:pStyle w:val="35"/>
            <w:tabs>
              <w:tab w:val="right" w:leader="dot" w:pos="8447"/>
            </w:tabs>
            <w:spacing w:line="480" w:lineRule="exact"/>
            <w:rPr>
              <w:rFonts w:ascii="宋体" w:hAnsi="宋体" w:eastAsia="宋体" w:cs="宋体"/>
              <w:sz w:val="28"/>
              <w:szCs w:val="28"/>
            </w:rPr>
          </w:pPr>
          <w:r>
            <w:fldChar w:fldCharType="begin"/>
          </w:r>
          <w:r>
            <w:instrText xml:space="preserve"> HYPERLINK \l "_Toc8553" </w:instrText>
          </w:r>
          <w:r>
            <w:fldChar w:fldCharType="separate"/>
          </w:r>
          <w:r>
            <w:rPr>
              <w:rFonts w:hint="eastAsia" w:ascii="宋体" w:hAnsi="宋体" w:eastAsia="宋体" w:cs="宋体"/>
              <w:bCs/>
              <w:sz w:val="28"/>
              <w:szCs w:val="28"/>
            </w:rPr>
            <w:t>第五节  规划指标</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_Toc8553 \h </w:instrText>
          </w:r>
          <w:r>
            <w:rPr>
              <w:rFonts w:hint="eastAsia" w:ascii="宋体" w:hAnsi="宋体" w:eastAsia="宋体" w:cs="宋体"/>
              <w:sz w:val="28"/>
              <w:szCs w:val="28"/>
            </w:rPr>
            <w:fldChar w:fldCharType="separate"/>
          </w:r>
          <w:r>
            <w:rPr>
              <w:rFonts w:ascii="宋体" w:hAnsi="宋体" w:eastAsia="宋体" w:cs="宋体"/>
              <w:sz w:val="28"/>
              <w:szCs w:val="28"/>
            </w:rPr>
            <w:t>18</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61740E89">
          <w:pPr>
            <w:pStyle w:val="30"/>
            <w:tabs>
              <w:tab w:val="right" w:leader="dot" w:pos="8447"/>
              <w:tab w:val="clear" w:pos="8302"/>
            </w:tabs>
            <w:spacing w:line="480" w:lineRule="exact"/>
            <w:rPr>
              <w:rFonts w:ascii="宋体" w:hAnsi="宋体" w:eastAsia="宋体" w:cs="宋体"/>
            </w:rPr>
          </w:pPr>
          <w:r>
            <w:fldChar w:fldCharType="begin"/>
          </w:r>
          <w:r>
            <w:instrText xml:space="preserve"> HYPERLINK \l "_Toc8868" </w:instrText>
          </w:r>
          <w:r>
            <w:fldChar w:fldCharType="separate"/>
          </w:r>
          <w:r>
            <w:rPr>
              <w:rFonts w:hint="eastAsia" w:ascii="宋体" w:hAnsi="宋体" w:eastAsia="宋体" w:cs="宋体"/>
            </w:rPr>
            <w:t>第三章 落实国土空间规划，优化区域发展布局</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_Toc8868 \h </w:instrText>
          </w:r>
          <w:r>
            <w:rPr>
              <w:rFonts w:hint="eastAsia" w:ascii="宋体" w:hAnsi="宋体" w:eastAsia="宋体" w:cs="宋体"/>
            </w:rPr>
            <w:fldChar w:fldCharType="separate"/>
          </w:r>
          <w:r>
            <w:rPr>
              <w:rFonts w:ascii="宋体" w:hAnsi="宋体" w:eastAsia="宋体" w:cs="宋体"/>
            </w:rPr>
            <w:t>23</w:t>
          </w:r>
          <w:r>
            <w:rPr>
              <w:rFonts w:hint="eastAsia" w:ascii="宋体" w:hAnsi="宋体" w:eastAsia="宋体" w:cs="宋体"/>
            </w:rPr>
            <w:fldChar w:fldCharType="end"/>
          </w:r>
          <w:r>
            <w:rPr>
              <w:rFonts w:hint="eastAsia" w:ascii="宋体" w:hAnsi="宋体" w:eastAsia="宋体" w:cs="宋体"/>
            </w:rPr>
            <w:fldChar w:fldCharType="end"/>
          </w:r>
        </w:p>
        <w:p w14:paraId="3C5E8B9D">
          <w:pPr>
            <w:pStyle w:val="35"/>
            <w:tabs>
              <w:tab w:val="right" w:leader="dot" w:pos="8447"/>
            </w:tabs>
            <w:spacing w:line="480" w:lineRule="exact"/>
            <w:rPr>
              <w:rFonts w:ascii="宋体" w:hAnsi="宋体" w:eastAsia="宋体" w:cs="宋体"/>
              <w:sz w:val="28"/>
              <w:szCs w:val="28"/>
            </w:rPr>
          </w:pPr>
          <w:r>
            <w:fldChar w:fldCharType="begin"/>
          </w:r>
          <w:r>
            <w:instrText xml:space="preserve"> HYPERLINK \l "_Toc24047" </w:instrText>
          </w:r>
          <w:r>
            <w:fldChar w:fldCharType="separate"/>
          </w:r>
          <w:r>
            <w:rPr>
              <w:rFonts w:hint="eastAsia" w:ascii="宋体" w:hAnsi="宋体" w:eastAsia="宋体" w:cs="宋体"/>
              <w:bCs/>
              <w:sz w:val="28"/>
              <w:szCs w:val="28"/>
            </w:rPr>
            <w:t>第一节  推进“多规合一”，优化空间布局</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_Toc24047 \h </w:instrText>
          </w:r>
          <w:r>
            <w:rPr>
              <w:rFonts w:hint="eastAsia" w:ascii="宋体" w:hAnsi="宋体" w:eastAsia="宋体" w:cs="宋体"/>
              <w:sz w:val="28"/>
              <w:szCs w:val="28"/>
            </w:rPr>
            <w:fldChar w:fldCharType="separate"/>
          </w:r>
          <w:r>
            <w:rPr>
              <w:rFonts w:ascii="宋体" w:hAnsi="宋体" w:eastAsia="宋体" w:cs="宋体"/>
              <w:sz w:val="28"/>
              <w:szCs w:val="28"/>
            </w:rPr>
            <w:t>23</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121EEAD1">
          <w:pPr>
            <w:pStyle w:val="35"/>
            <w:tabs>
              <w:tab w:val="right" w:leader="dot" w:pos="8447"/>
            </w:tabs>
            <w:spacing w:line="480" w:lineRule="exact"/>
            <w:rPr>
              <w:rFonts w:ascii="宋体" w:hAnsi="宋体" w:eastAsia="宋体" w:cs="宋体"/>
              <w:sz w:val="28"/>
              <w:szCs w:val="28"/>
            </w:rPr>
          </w:pPr>
          <w:r>
            <w:fldChar w:fldCharType="begin"/>
          </w:r>
          <w:r>
            <w:instrText xml:space="preserve"> HYPERLINK \l "_Toc26394" </w:instrText>
          </w:r>
          <w:r>
            <w:fldChar w:fldCharType="separate"/>
          </w:r>
          <w:r>
            <w:rPr>
              <w:rFonts w:hint="eastAsia" w:ascii="宋体" w:hAnsi="宋体" w:eastAsia="宋体" w:cs="宋体"/>
              <w:bCs/>
              <w:sz w:val="28"/>
              <w:szCs w:val="28"/>
            </w:rPr>
            <w:t xml:space="preserve">第二节  </w:t>
          </w:r>
          <w:r>
            <w:rPr>
              <w:rFonts w:hint="eastAsia" w:ascii="宋体" w:hAnsi="宋体" w:eastAsia="宋体" w:cs="宋体"/>
              <w:bCs/>
              <w:sz w:val="28"/>
              <w:szCs w:val="28"/>
              <w:lang w:val="zh-CN"/>
            </w:rPr>
            <w:t>保障自然生态空间</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_Toc26394 \h </w:instrText>
          </w:r>
          <w:r>
            <w:rPr>
              <w:rFonts w:hint="eastAsia" w:ascii="宋体" w:hAnsi="宋体" w:eastAsia="宋体" w:cs="宋体"/>
              <w:sz w:val="28"/>
              <w:szCs w:val="28"/>
            </w:rPr>
            <w:fldChar w:fldCharType="separate"/>
          </w:r>
          <w:r>
            <w:rPr>
              <w:rFonts w:ascii="宋体" w:hAnsi="宋体" w:eastAsia="宋体" w:cs="宋体"/>
              <w:sz w:val="28"/>
              <w:szCs w:val="28"/>
            </w:rPr>
            <w:t>24</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4723132A">
          <w:pPr>
            <w:pStyle w:val="35"/>
            <w:tabs>
              <w:tab w:val="right" w:leader="dot" w:pos="8447"/>
            </w:tabs>
            <w:spacing w:line="480" w:lineRule="exact"/>
            <w:rPr>
              <w:rFonts w:ascii="宋体" w:hAnsi="宋体" w:eastAsia="宋体" w:cs="宋体"/>
              <w:sz w:val="28"/>
              <w:szCs w:val="28"/>
            </w:rPr>
          </w:pPr>
          <w:r>
            <w:fldChar w:fldCharType="begin"/>
          </w:r>
          <w:r>
            <w:instrText xml:space="preserve"> HYPERLINK \l "_Toc30437" </w:instrText>
          </w:r>
          <w:r>
            <w:fldChar w:fldCharType="separate"/>
          </w:r>
          <w:r>
            <w:rPr>
              <w:rFonts w:hint="eastAsia" w:ascii="宋体" w:hAnsi="宋体" w:eastAsia="宋体" w:cs="宋体"/>
              <w:bCs/>
              <w:sz w:val="28"/>
              <w:szCs w:val="28"/>
              <w:lang w:val="zh-CN"/>
            </w:rPr>
            <w:t>第三节  构建适度有序的农业空间</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_Toc30437 \h </w:instrText>
          </w:r>
          <w:r>
            <w:rPr>
              <w:rFonts w:hint="eastAsia" w:ascii="宋体" w:hAnsi="宋体" w:eastAsia="宋体" w:cs="宋体"/>
              <w:sz w:val="28"/>
              <w:szCs w:val="28"/>
            </w:rPr>
            <w:fldChar w:fldCharType="separate"/>
          </w:r>
          <w:r>
            <w:rPr>
              <w:rFonts w:ascii="宋体" w:hAnsi="宋体" w:eastAsia="宋体" w:cs="宋体"/>
              <w:sz w:val="28"/>
              <w:szCs w:val="28"/>
            </w:rPr>
            <w:t>27</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27A317CA">
          <w:pPr>
            <w:pStyle w:val="35"/>
            <w:tabs>
              <w:tab w:val="right" w:leader="dot" w:pos="8447"/>
            </w:tabs>
            <w:spacing w:line="480" w:lineRule="exact"/>
            <w:rPr>
              <w:rFonts w:ascii="宋体" w:hAnsi="宋体" w:eastAsia="宋体" w:cs="宋体"/>
              <w:sz w:val="28"/>
              <w:szCs w:val="28"/>
            </w:rPr>
          </w:pPr>
          <w:r>
            <w:fldChar w:fldCharType="begin"/>
          </w:r>
          <w:r>
            <w:instrText xml:space="preserve"> HYPERLINK \l "_Toc28755" </w:instrText>
          </w:r>
          <w:r>
            <w:fldChar w:fldCharType="separate"/>
          </w:r>
          <w:r>
            <w:rPr>
              <w:rFonts w:hint="eastAsia" w:ascii="宋体" w:hAnsi="宋体" w:eastAsia="宋体" w:cs="宋体"/>
              <w:bCs/>
              <w:sz w:val="28"/>
              <w:szCs w:val="28"/>
              <w:lang w:val="zh-CN"/>
            </w:rPr>
            <w:t>第四节  不断优化城镇空间</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_Toc28755 \h </w:instrText>
          </w:r>
          <w:r>
            <w:rPr>
              <w:rFonts w:hint="eastAsia" w:ascii="宋体" w:hAnsi="宋体" w:eastAsia="宋体" w:cs="宋体"/>
              <w:sz w:val="28"/>
              <w:szCs w:val="28"/>
            </w:rPr>
            <w:fldChar w:fldCharType="separate"/>
          </w:r>
          <w:r>
            <w:rPr>
              <w:rFonts w:ascii="宋体" w:hAnsi="宋体" w:eastAsia="宋体" w:cs="宋体"/>
              <w:sz w:val="28"/>
              <w:szCs w:val="28"/>
            </w:rPr>
            <w:t>28</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36D45894">
          <w:pPr>
            <w:pStyle w:val="30"/>
            <w:tabs>
              <w:tab w:val="right" w:leader="dot" w:pos="8447"/>
              <w:tab w:val="clear" w:pos="8302"/>
            </w:tabs>
            <w:spacing w:line="480" w:lineRule="exact"/>
            <w:rPr>
              <w:rFonts w:ascii="宋体" w:hAnsi="宋体" w:eastAsia="宋体" w:cs="宋体"/>
            </w:rPr>
          </w:pPr>
          <w:r>
            <w:fldChar w:fldCharType="begin"/>
          </w:r>
          <w:r>
            <w:instrText xml:space="preserve"> HYPERLINK \l "_Toc18827" </w:instrText>
          </w:r>
          <w:r>
            <w:fldChar w:fldCharType="separate"/>
          </w:r>
          <w:r>
            <w:rPr>
              <w:rFonts w:hint="eastAsia" w:ascii="宋体" w:hAnsi="宋体" w:eastAsia="宋体" w:cs="宋体"/>
            </w:rPr>
            <w:t>第四章 发展生态经济，实现高质量绿色发展</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_Toc18827 \h </w:instrText>
          </w:r>
          <w:r>
            <w:rPr>
              <w:rFonts w:hint="eastAsia" w:ascii="宋体" w:hAnsi="宋体" w:eastAsia="宋体" w:cs="宋体"/>
            </w:rPr>
            <w:fldChar w:fldCharType="separate"/>
          </w:r>
          <w:r>
            <w:rPr>
              <w:rFonts w:ascii="宋体" w:hAnsi="宋体" w:eastAsia="宋体" w:cs="宋体"/>
            </w:rPr>
            <w:t>30</w:t>
          </w:r>
          <w:r>
            <w:rPr>
              <w:rFonts w:hint="eastAsia" w:ascii="宋体" w:hAnsi="宋体" w:eastAsia="宋体" w:cs="宋体"/>
            </w:rPr>
            <w:fldChar w:fldCharType="end"/>
          </w:r>
          <w:r>
            <w:rPr>
              <w:rFonts w:hint="eastAsia" w:ascii="宋体" w:hAnsi="宋体" w:eastAsia="宋体" w:cs="宋体"/>
            </w:rPr>
            <w:fldChar w:fldCharType="end"/>
          </w:r>
        </w:p>
        <w:p w14:paraId="0B570873">
          <w:pPr>
            <w:pStyle w:val="35"/>
            <w:tabs>
              <w:tab w:val="right" w:leader="dot" w:pos="8447"/>
            </w:tabs>
            <w:spacing w:line="480" w:lineRule="exact"/>
            <w:rPr>
              <w:rFonts w:ascii="宋体" w:hAnsi="宋体" w:eastAsia="宋体" w:cs="宋体"/>
              <w:sz w:val="28"/>
              <w:szCs w:val="28"/>
            </w:rPr>
          </w:pPr>
          <w:r>
            <w:fldChar w:fldCharType="begin"/>
          </w:r>
          <w:r>
            <w:instrText xml:space="preserve"> HYPERLINK \l "_Toc28043" </w:instrText>
          </w:r>
          <w:r>
            <w:fldChar w:fldCharType="separate"/>
          </w:r>
          <w:r>
            <w:rPr>
              <w:rFonts w:hint="eastAsia" w:ascii="宋体" w:hAnsi="宋体" w:eastAsia="宋体" w:cs="宋体"/>
              <w:bCs/>
              <w:sz w:val="28"/>
              <w:szCs w:val="28"/>
            </w:rPr>
            <w:t>第一节  推进转型升级，壮大绿色产业</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_Toc28043 \h </w:instrText>
          </w:r>
          <w:r>
            <w:rPr>
              <w:rFonts w:hint="eastAsia" w:ascii="宋体" w:hAnsi="宋体" w:eastAsia="宋体" w:cs="宋体"/>
              <w:sz w:val="28"/>
              <w:szCs w:val="28"/>
            </w:rPr>
            <w:fldChar w:fldCharType="separate"/>
          </w:r>
          <w:r>
            <w:rPr>
              <w:rFonts w:ascii="宋体" w:hAnsi="宋体" w:eastAsia="宋体" w:cs="宋体"/>
              <w:sz w:val="28"/>
              <w:szCs w:val="28"/>
            </w:rPr>
            <w:t>30</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24EBDFB9">
          <w:pPr>
            <w:pStyle w:val="35"/>
            <w:tabs>
              <w:tab w:val="right" w:leader="dot" w:pos="8447"/>
            </w:tabs>
            <w:spacing w:line="480" w:lineRule="exact"/>
            <w:rPr>
              <w:rFonts w:ascii="宋体" w:hAnsi="宋体" w:eastAsia="宋体" w:cs="宋体"/>
              <w:sz w:val="28"/>
              <w:szCs w:val="28"/>
            </w:rPr>
          </w:pPr>
          <w:r>
            <w:fldChar w:fldCharType="begin"/>
          </w:r>
          <w:r>
            <w:instrText xml:space="preserve"> HYPERLINK \l "_Toc12799" </w:instrText>
          </w:r>
          <w:r>
            <w:fldChar w:fldCharType="separate"/>
          </w:r>
          <w:r>
            <w:rPr>
              <w:rFonts w:hint="eastAsia" w:ascii="宋体" w:hAnsi="宋体" w:eastAsia="宋体" w:cs="宋体"/>
              <w:bCs/>
              <w:sz w:val="28"/>
              <w:szCs w:val="28"/>
            </w:rPr>
            <w:t>第二节  强化资源能源节约</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_Toc12799 \h </w:instrText>
          </w:r>
          <w:r>
            <w:rPr>
              <w:rFonts w:hint="eastAsia" w:ascii="宋体" w:hAnsi="宋体" w:eastAsia="宋体" w:cs="宋体"/>
              <w:sz w:val="28"/>
              <w:szCs w:val="28"/>
            </w:rPr>
            <w:fldChar w:fldCharType="separate"/>
          </w:r>
          <w:r>
            <w:rPr>
              <w:rFonts w:ascii="宋体" w:hAnsi="宋体" w:eastAsia="宋体" w:cs="宋体"/>
              <w:sz w:val="28"/>
              <w:szCs w:val="28"/>
            </w:rPr>
            <w:t>37</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07F27BAD">
          <w:pPr>
            <w:pStyle w:val="35"/>
            <w:tabs>
              <w:tab w:val="right" w:leader="dot" w:pos="8447"/>
            </w:tabs>
            <w:spacing w:line="480" w:lineRule="exact"/>
            <w:rPr>
              <w:rFonts w:ascii="宋体" w:hAnsi="宋体" w:eastAsia="宋体" w:cs="宋体"/>
              <w:sz w:val="28"/>
              <w:szCs w:val="28"/>
            </w:rPr>
          </w:pPr>
          <w:r>
            <w:fldChar w:fldCharType="begin"/>
          </w:r>
          <w:r>
            <w:instrText xml:space="preserve"> HYPERLINK \l "_Toc21750" </w:instrText>
          </w:r>
          <w:r>
            <w:fldChar w:fldCharType="separate"/>
          </w:r>
          <w:r>
            <w:rPr>
              <w:rFonts w:hint="eastAsia" w:ascii="宋体" w:hAnsi="宋体" w:eastAsia="宋体" w:cs="宋体"/>
              <w:bCs/>
              <w:sz w:val="28"/>
              <w:szCs w:val="28"/>
            </w:rPr>
            <w:t>第三节  推动科技创新</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_Toc21750 \h </w:instrText>
          </w:r>
          <w:r>
            <w:rPr>
              <w:rFonts w:hint="eastAsia" w:ascii="宋体" w:hAnsi="宋体" w:eastAsia="宋体" w:cs="宋体"/>
              <w:sz w:val="28"/>
              <w:szCs w:val="28"/>
            </w:rPr>
            <w:fldChar w:fldCharType="separate"/>
          </w:r>
          <w:r>
            <w:rPr>
              <w:rFonts w:ascii="宋体" w:hAnsi="宋体" w:eastAsia="宋体" w:cs="宋体"/>
              <w:sz w:val="28"/>
              <w:szCs w:val="28"/>
            </w:rPr>
            <w:t>38</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7C7F498D">
          <w:pPr>
            <w:pStyle w:val="35"/>
            <w:tabs>
              <w:tab w:val="right" w:leader="dot" w:pos="8447"/>
            </w:tabs>
            <w:spacing w:line="480" w:lineRule="exact"/>
            <w:rPr>
              <w:rFonts w:ascii="宋体" w:hAnsi="宋体" w:eastAsia="宋体" w:cs="宋体"/>
              <w:sz w:val="28"/>
              <w:szCs w:val="28"/>
            </w:rPr>
          </w:pPr>
          <w:r>
            <w:fldChar w:fldCharType="begin"/>
          </w:r>
          <w:r>
            <w:instrText xml:space="preserve"> HYPERLINK \l "_Toc22027" </w:instrText>
          </w:r>
          <w:r>
            <w:fldChar w:fldCharType="separate"/>
          </w:r>
          <w:r>
            <w:rPr>
              <w:rFonts w:hint="eastAsia" w:ascii="宋体" w:hAnsi="宋体" w:eastAsia="宋体" w:cs="宋体"/>
              <w:bCs/>
              <w:sz w:val="28"/>
              <w:szCs w:val="28"/>
            </w:rPr>
            <w:t xml:space="preserve">第四节  </w:t>
          </w:r>
          <w:r>
            <w:rPr>
              <w:rFonts w:hint="eastAsia" w:ascii="宋体" w:hAnsi="宋体" w:eastAsia="宋体" w:cs="宋体"/>
              <w:bCs/>
              <w:sz w:val="28"/>
              <w:szCs w:val="28"/>
              <w:lang w:val="zh-CN"/>
            </w:rPr>
            <w:t>推动实现生态资源价值</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_Toc22027 \h </w:instrText>
          </w:r>
          <w:r>
            <w:rPr>
              <w:rFonts w:hint="eastAsia" w:ascii="宋体" w:hAnsi="宋体" w:eastAsia="宋体" w:cs="宋体"/>
              <w:sz w:val="28"/>
              <w:szCs w:val="28"/>
            </w:rPr>
            <w:fldChar w:fldCharType="separate"/>
          </w:r>
          <w:r>
            <w:rPr>
              <w:rFonts w:ascii="宋体" w:hAnsi="宋体" w:eastAsia="宋体" w:cs="宋体"/>
              <w:sz w:val="28"/>
              <w:szCs w:val="28"/>
            </w:rPr>
            <w:t>40</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3A359EC8">
          <w:pPr>
            <w:pStyle w:val="30"/>
            <w:tabs>
              <w:tab w:val="right" w:leader="dot" w:pos="8447"/>
              <w:tab w:val="clear" w:pos="8302"/>
            </w:tabs>
            <w:spacing w:line="480" w:lineRule="exact"/>
            <w:rPr>
              <w:rFonts w:ascii="宋体" w:hAnsi="宋体" w:eastAsia="宋体" w:cs="宋体"/>
            </w:rPr>
          </w:pPr>
          <w:r>
            <w:fldChar w:fldCharType="begin"/>
          </w:r>
          <w:r>
            <w:instrText xml:space="preserve"> HYPERLINK \l "_Toc9232" </w:instrText>
          </w:r>
          <w:r>
            <w:fldChar w:fldCharType="separate"/>
          </w:r>
          <w:r>
            <w:rPr>
              <w:rFonts w:hint="eastAsia" w:ascii="宋体" w:hAnsi="宋体" w:eastAsia="宋体" w:cs="宋体"/>
            </w:rPr>
            <w:t>第五章 改善生态环境质量，巩固县域生态安全</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_Toc9232 \h </w:instrText>
          </w:r>
          <w:r>
            <w:rPr>
              <w:rFonts w:hint="eastAsia" w:ascii="宋体" w:hAnsi="宋体" w:eastAsia="宋体" w:cs="宋体"/>
            </w:rPr>
            <w:fldChar w:fldCharType="separate"/>
          </w:r>
          <w:r>
            <w:rPr>
              <w:rFonts w:ascii="宋体" w:hAnsi="宋体" w:eastAsia="宋体" w:cs="宋体"/>
            </w:rPr>
            <w:t>42</w:t>
          </w:r>
          <w:r>
            <w:rPr>
              <w:rFonts w:hint="eastAsia" w:ascii="宋体" w:hAnsi="宋体" w:eastAsia="宋体" w:cs="宋体"/>
            </w:rPr>
            <w:fldChar w:fldCharType="end"/>
          </w:r>
          <w:r>
            <w:rPr>
              <w:rFonts w:hint="eastAsia" w:ascii="宋体" w:hAnsi="宋体" w:eastAsia="宋体" w:cs="宋体"/>
            </w:rPr>
            <w:fldChar w:fldCharType="end"/>
          </w:r>
        </w:p>
        <w:p w14:paraId="36194289">
          <w:pPr>
            <w:pStyle w:val="35"/>
            <w:tabs>
              <w:tab w:val="right" w:leader="dot" w:pos="8447"/>
            </w:tabs>
            <w:spacing w:line="480" w:lineRule="exact"/>
            <w:rPr>
              <w:rFonts w:ascii="宋体" w:hAnsi="宋体" w:eastAsia="宋体" w:cs="宋体"/>
              <w:sz w:val="28"/>
              <w:szCs w:val="28"/>
            </w:rPr>
          </w:pPr>
          <w:r>
            <w:fldChar w:fldCharType="begin"/>
          </w:r>
          <w:r>
            <w:instrText xml:space="preserve"> HYPERLINK \l "_Toc22699" </w:instrText>
          </w:r>
          <w:r>
            <w:fldChar w:fldCharType="separate"/>
          </w:r>
          <w:r>
            <w:rPr>
              <w:rFonts w:hint="eastAsia" w:ascii="宋体" w:hAnsi="宋体" w:eastAsia="宋体" w:cs="宋体"/>
              <w:bCs/>
              <w:sz w:val="28"/>
              <w:szCs w:val="28"/>
            </w:rPr>
            <w:t>第一节  加强生态保护与修复</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_Toc22699 \h </w:instrText>
          </w:r>
          <w:r>
            <w:rPr>
              <w:rFonts w:hint="eastAsia" w:ascii="宋体" w:hAnsi="宋体" w:eastAsia="宋体" w:cs="宋体"/>
              <w:sz w:val="28"/>
              <w:szCs w:val="28"/>
            </w:rPr>
            <w:fldChar w:fldCharType="separate"/>
          </w:r>
          <w:r>
            <w:rPr>
              <w:rFonts w:ascii="宋体" w:hAnsi="宋体" w:eastAsia="宋体" w:cs="宋体"/>
              <w:sz w:val="28"/>
              <w:szCs w:val="28"/>
            </w:rPr>
            <w:t>42</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021A607C">
          <w:pPr>
            <w:pStyle w:val="35"/>
            <w:tabs>
              <w:tab w:val="right" w:leader="dot" w:pos="8447"/>
            </w:tabs>
            <w:spacing w:line="480" w:lineRule="exact"/>
            <w:rPr>
              <w:rFonts w:ascii="宋体" w:hAnsi="宋体" w:eastAsia="宋体" w:cs="宋体"/>
              <w:sz w:val="28"/>
              <w:szCs w:val="28"/>
            </w:rPr>
          </w:pPr>
          <w:r>
            <w:fldChar w:fldCharType="begin"/>
          </w:r>
          <w:r>
            <w:instrText xml:space="preserve"> HYPERLINK \l "_Toc26505" </w:instrText>
          </w:r>
          <w:r>
            <w:fldChar w:fldCharType="separate"/>
          </w:r>
          <w:r>
            <w:rPr>
              <w:rFonts w:hint="eastAsia" w:ascii="宋体" w:hAnsi="宋体" w:eastAsia="宋体" w:cs="宋体"/>
              <w:bCs/>
              <w:sz w:val="28"/>
              <w:szCs w:val="28"/>
            </w:rPr>
            <w:t>第二节  持续推进节能降碳、积极应对气候变化</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_Toc26505 \h </w:instrText>
          </w:r>
          <w:r>
            <w:rPr>
              <w:rFonts w:hint="eastAsia" w:ascii="宋体" w:hAnsi="宋体" w:eastAsia="宋体" w:cs="宋体"/>
              <w:sz w:val="28"/>
              <w:szCs w:val="28"/>
            </w:rPr>
            <w:fldChar w:fldCharType="separate"/>
          </w:r>
          <w:r>
            <w:rPr>
              <w:rFonts w:ascii="宋体" w:hAnsi="宋体" w:eastAsia="宋体" w:cs="宋体"/>
              <w:sz w:val="28"/>
              <w:szCs w:val="28"/>
            </w:rPr>
            <w:t>48</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48F418F0">
          <w:pPr>
            <w:pStyle w:val="35"/>
            <w:tabs>
              <w:tab w:val="right" w:leader="dot" w:pos="8447"/>
            </w:tabs>
            <w:spacing w:line="480" w:lineRule="exact"/>
            <w:rPr>
              <w:rFonts w:ascii="宋体" w:hAnsi="宋体" w:eastAsia="宋体" w:cs="宋体"/>
              <w:sz w:val="28"/>
              <w:szCs w:val="28"/>
            </w:rPr>
          </w:pPr>
          <w:r>
            <w:fldChar w:fldCharType="begin"/>
          </w:r>
          <w:r>
            <w:instrText xml:space="preserve"> HYPERLINK \l "_Toc23245" </w:instrText>
          </w:r>
          <w:r>
            <w:fldChar w:fldCharType="separate"/>
          </w:r>
          <w:r>
            <w:rPr>
              <w:rFonts w:hint="eastAsia" w:ascii="宋体" w:hAnsi="宋体" w:eastAsia="宋体" w:cs="宋体"/>
              <w:bCs/>
              <w:sz w:val="28"/>
              <w:szCs w:val="28"/>
            </w:rPr>
            <w:t>第三节  保持巩固环境质量</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_Toc23245 \h </w:instrText>
          </w:r>
          <w:r>
            <w:rPr>
              <w:rFonts w:hint="eastAsia" w:ascii="宋体" w:hAnsi="宋体" w:eastAsia="宋体" w:cs="宋体"/>
              <w:sz w:val="28"/>
              <w:szCs w:val="28"/>
            </w:rPr>
            <w:fldChar w:fldCharType="separate"/>
          </w:r>
          <w:r>
            <w:rPr>
              <w:rFonts w:ascii="宋体" w:hAnsi="宋体" w:eastAsia="宋体" w:cs="宋体"/>
              <w:sz w:val="28"/>
              <w:szCs w:val="28"/>
            </w:rPr>
            <w:t>50</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576D8941">
          <w:pPr>
            <w:pStyle w:val="35"/>
            <w:tabs>
              <w:tab w:val="right" w:leader="dot" w:pos="8447"/>
            </w:tabs>
            <w:spacing w:line="480" w:lineRule="exact"/>
            <w:rPr>
              <w:rFonts w:ascii="宋体" w:hAnsi="宋体" w:eastAsia="宋体" w:cs="宋体"/>
              <w:sz w:val="28"/>
              <w:szCs w:val="28"/>
            </w:rPr>
          </w:pPr>
          <w:r>
            <w:fldChar w:fldCharType="begin"/>
          </w:r>
          <w:r>
            <w:instrText xml:space="preserve"> HYPERLINK \l "_Toc28567" </w:instrText>
          </w:r>
          <w:r>
            <w:fldChar w:fldCharType="separate"/>
          </w:r>
          <w:r>
            <w:rPr>
              <w:rFonts w:hint="eastAsia" w:ascii="宋体" w:hAnsi="宋体" w:eastAsia="宋体" w:cs="宋体"/>
              <w:sz w:val="28"/>
              <w:szCs w:val="28"/>
            </w:rPr>
            <w:t>第四节  提升环境风险防范能力</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_Toc28567 \h </w:instrText>
          </w:r>
          <w:r>
            <w:rPr>
              <w:rFonts w:hint="eastAsia" w:ascii="宋体" w:hAnsi="宋体" w:eastAsia="宋体" w:cs="宋体"/>
              <w:sz w:val="28"/>
              <w:szCs w:val="28"/>
            </w:rPr>
            <w:fldChar w:fldCharType="separate"/>
          </w:r>
          <w:r>
            <w:rPr>
              <w:rFonts w:ascii="宋体" w:hAnsi="宋体" w:eastAsia="宋体" w:cs="宋体"/>
              <w:sz w:val="28"/>
              <w:szCs w:val="28"/>
            </w:rPr>
            <w:t>56</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203759D5">
          <w:pPr>
            <w:pStyle w:val="35"/>
            <w:tabs>
              <w:tab w:val="right" w:leader="dot" w:pos="8447"/>
            </w:tabs>
            <w:spacing w:line="480" w:lineRule="exact"/>
            <w:rPr>
              <w:rFonts w:ascii="宋体" w:hAnsi="宋体" w:eastAsia="宋体" w:cs="宋体"/>
              <w:sz w:val="28"/>
              <w:szCs w:val="28"/>
            </w:rPr>
          </w:pPr>
          <w:r>
            <w:fldChar w:fldCharType="begin"/>
          </w:r>
          <w:r>
            <w:instrText xml:space="preserve"> HYPERLINK \l "_Toc15077" </w:instrText>
          </w:r>
          <w:r>
            <w:fldChar w:fldCharType="separate"/>
          </w:r>
          <w:r>
            <w:rPr>
              <w:rFonts w:hint="eastAsia" w:ascii="宋体" w:hAnsi="宋体" w:eastAsia="宋体" w:cs="宋体"/>
              <w:bCs/>
              <w:sz w:val="28"/>
              <w:szCs w:val="28"/>
            </w:rPr>
            <w:t>第五节  推进环境治理体系和治理能力现代化</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_Toc15077 \h </w:instrText>
          </w:r>
          <w:r>
            <w:rPr>
              <w:rFonts w:hint="eastAsia" w:ascii="宋体" w:hAnsi="宋体" w:eastAsia="宋体" w:cs="宋体"/>
              <w:sz w:val="28"/>
              <w:szCs w:val="28"/>
            </w:rPr>
            <w:fldChar w:fldCharType="separate"/>
          </w:r>
          <w:r>
            <w:rPr>
              <w:rFonts w:ascii="宋体" w:hAnsi="宋体" w:eastAsia="宋体" w:cs="宋体"/>
              <w:sz w:val="28"/>
              <w:szCs w:val="28"/>
            </w:rPr>
            <w:t>58</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067E0458">
          <w:pPr>
            <w:pStyle w:val="30"/>
            <w:tabs>
              <w:tab w:val="right" w:leader="dot" w:pos="8447"/>
              <w:tab w:val="clear" w:pos="8302"/>
            </w:tabs>
            <w:spacing w:line="480" w:lineRule="exact"/>
            <w:rPr>
              <w:rFonts w:ascii="宋体" w:hAnsi="宋体" w:eastAsia="宋体" w:cs="宋体"/>
            </w:rPr>
          </w:pPr>
          <w:r>
            <w:fldChar w:fldCharType="begin"/>
          </w:r>
          <w:r>
            <w:instrText xml:space="preserve"> HYPERLINK \l "_Toc31656" </w:instrText>
          </w:r>
          <w:r>
            <w:fldChar w:fldCharType="separate"/>
          </w:r>
          <w:r>
            <w:rPr>
              <w:rFonts w:hint="eastAsia" w:ascii="宋体" w:hAnsi="宋体" w:eastAsia="宋体" w:cs="宋体"/>
            </w:rPr>
            <w:t>第六章 践行生态生活，打造优美生活环境</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_Toc31656 \h </w:instrText>
          </w:r>
          <w:r>
            <w:rPr>
              <w:rFonts w:hint="eastAsia" w:ascii="宋体" w:hAnsi="宋体" w:eastAsia="宋体" w:cs="宋体"/>
            </w:rPr>
            <w:fldChar w:fldCharType="separate"/>
          </w:r>
          <w:r>
            <w:rPr>
              <w:rFonts w:ascii="宋体" w:hAnsi="宋体" w:eastAsia="宋体" w:cs="宋体"/>
            </w:rPr>
            <w:t>60</w:t>
          </w:r>
          <w:r>
            <w:rPr>
              <w:rFonts w:hint="eastAsia" w:ascii="宋体" w:hAnsi="宋体" w:eastAsia="宋体" w:cs="宋体"/>
            </w:rPr>
            <w:fldChar w:fldCharType="end"/>
          </w:r>
          <w:r>
            <w:rPr>
              <w:rFonts w:hint="eastAsia" w:ascii="宋体" w:hAnsi="宋体" w:eastAsia="宋体" w:cs="宋体"/>
            </w:rPr>
            <w:fldChar w:fldCharType="end"/>
          </w:r>
        </w:p>
        <w:p w14:paraId="2B794DC8">
          <w:pPr>
            <w:pStyle w:val="35"/>
            <w:tabs>
              <w:tab w:val="right" w:leader="dot" w:pos="8447"/>
            </w:tabs>
            <w:spacing w:line="480" w:lineRule="exact"/>
            <w:rPr>
              <w:rFonts w:ascii="宋体" w:hAnsi="宋体" w:eastAsia="宋体" w:cs="宋体"/>
              <w:sz w:val="28"/>
              <w:szCs w:val="28"/>
            </w:rPr>
          </w:pPr>
          <w:r>
            <w:fldChar w:fldCharType="begin"/>
          </w:r>
          <w:r>
            <w:instrText xml:space="preserve"> HYPERLINK \l "_Toc21068" </w:instrText>
          </w:r>
          <w:r>
            <w:fldChar w:fldCharType="separate"/>
          </w:r>
          <w:r>
            <w:rPr>
              <w:rFonts w:hint="eastAsia" w:ascii="宋体" w:hAnsi="宋体" w:eastAsia="宋体" w:cs="宋体"/>
              <w:bCs/>
              <w:sz w:val="28"/>
              <w:szCs w:val="28"/>
            </w:rPr>
            <w:t>第一节  完善城乡体系建设</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_Toc21068 \h </w:instrText>
          </w:r>
          <w:r>
            <w:rPr>
              <w:rFonts w:hint="eastAsia" w:ascii="宋体" w:hAnsi="宋体" w:eastAsia="宋体" w:cs="宋体"/>
              <w:sz w:val="28"/>
              <w:szCs w:val="28"/>
            </w:rPr>
            <w:fldChar w:fldCharType="separate"/>
          </w:r>
          <w:r>
            <w:rPr>
              <w:rFonts w:ascii="宋体" w:hAnsi="宋体" w:eastAsia="宋体" w:cs="宋体"/>
              <w:sz w:val="28"/>
              <w:szCs w:val="28"/>
            </w:rPr>
            <w:t>60</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67A9B2C4">
          <w:pPr>
            <w:pStyle w:val="35"/>
            <w:tabs>
              <w:tab w:val="right" w:leader="dot" w:pos="8447"/>
            </w:tabs>
            <w:spacing w:line="480" w:lineRule="exact"/>
            <w:rPr>
              <w:rFonts w:ascii="宋体" w:hAnsi="宋体" w:eastAsia="宋体" w:cs="宋体"/>
              <w:sz w:val="28"/>
              <w:szCs w:val="28"/>
            </w:rPr>
          </w:pPr>
          <w:r>
            <w:fldChar w:fldCharType="begin"/>
          </w:r>
          <w:r>
            <w:instrText xml:space="preserve"> HYPERLINK \l "_Toc16585" </w:instrText>
          </w:r>
          <w:r>
            <w:fldChar w:fldCharType="separate"/>
          </w:r>
          <w:r>
            <w:rPr>
              <w:rFonts w:hint="eastAsia" w:ascii="宋体" w:hAnsi="宋体" w:eastAsia="宋体" w:cs="宋体"/>
              <w:bCs/>
              <w:sz w:val="28"/>
              <w:szCs w:val="28"/>
            </w:rPr>
            <w:t>第二节  提升基础设施保障</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_Toc16585 \h </w:instrText>
          </w:r>
          <w:r>
            <w:rPr>
              <w:rFonts w:hint="eastAsia" w:ascii="宋体" w:hAnsi="宋体" w:eastAsia="宋体" w:cs="宋体"/>
              <w:sz w:val="28"/>
              <w:szCs w:val="28"/>
            </w:rPr>
            <w:fldChar w:fldCharType="separate"/>
          </w:r>
          <w:r>
            <w:rPr>
              <w:rFonts w:ascii="宋体" w:hAnsi="宋体" w:eastAsia="宋体" w:cs="宋体"/>
              <w:sz w:val="28"/>
              <w:szCs w:val="28"/>
            </w:rPr>
            <w:t>61</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743C037C">
          <w:pPr>
            <w:pStyle w:val="35"/>
            <w:tabs>
              <w:tab w:val="right" w:leader="dot" w:pos="8447"/>
            </w:tabs>
            <w:spacing w:line="480" w:lineRule="exact"/>
            <w:rPr>
              <w:rFonts w:ascii="宋体" w:hAnsi="宋体" w:eastAsia="宋体" w:cs="宋体"/>
              <w:sz w:val="28"/>
              <w:szCs w:val="28"/>
            </w:rPr>
          </w:pPr>
          <w:r>
            <w:fldChar w:fldCharType="begin"/>
          </w:r>
          <w:r>
            <w:instrText xml:space="preserve"> HYPERLINK \l "_Toc9867" </w:instrText>
          </w:r>
          <w:r>
            <w:fldChar w:fldCharType="separate"/>
          </w:r>
          <w:r>
            <w:rPr>
              <w:rFonts w:hint="eastAsia" w:ascii="宋体" w:hAnsi="宋体" w:eastAsia="宋体" w:cs="宋体"/>
              <w:sz w:val="28"/>
              <w:szCs w:val="28"/>
            </w:rPr>
            <w:t>第三节  改善提升城乡环境建设</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_Toc9867 \h </w:instrText>
          </w:r>
          <w:r>
            <w:rPr>
              <w:rFonts w:hint="eastAsia" w:ascii="宋体" w:hAnsi="宋体" w:eastAsia="宋体" w:cs="宋体"/>
              <w:sz w:val="28"/>
              <w:szCs w:val="28"/>
            </w:rPr>
            <w:fldChar w:fldCharType="separate"/>
          </w:r>
          <w:r>
            <w:rPr>
              <w:rFonts w:ascii="宋体" w:hAnsi="宋体" w:eastAsia="宋体" w:cs="宋体"/>
              <w:sz w:val="28"/>
              <w:szCs w:val="28"/>
            </w:rPr>
            <w:t>64</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3D5E96AC">
          <w:pPr>
            <w:pStyle w:val="35"/>
            <w:tabs>
              <w:tab w:val="right" w:leader="dot" w:pos="8447"/>
            </w:tabs>
            <w:spacing w:line="480" w:lineRule="exact"/>
            <w:rPr>
              <w:rFonts w:ascii="宋体" w:hAnsi="宋体" w:eastAsia="宋体" w:cs="宋体"/>
              <w:sz w:val="28"/>
              <w:szCs w:val="28"/>
            </w:rPr>
          </w:pPr>
          <w:r>
            <w:fldChar w:fldCharType="begin"/>
          </w:r>
          <w:r>
            <w:instrText xml:space="preserve"> HYPERLINK \l "_Toc2119" </w:instrText>
          </w:r>
          <w:r>
            <w:fldChar w:fldCharType="separate"/>
          </w:r>
          <w:r>
            <w:rPr>
              <w:rFonts w:hint="eastAsia" w:ascii="宋体" w:hAnsi="宋体" w:eastAsia="宋体" w:cs="宋体"/>
              <w:bCs/>
              <w:sz w:val="28"/>
              <w:szCs w:val="28"/>
            </w:rPr>
            <w:t>第四节  倡导绿色生活方式</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_Toc2119 \h </w:instrText>
          </w:r>
          <w:r>
            <w:rPr>
              <w:rFonts w:hint="eastAsia" w:ascii="宋体" w:hAnsi="宋体" w:eastAsia="宋体" w:cs="宋体"/>
              <w:sz w:val="28"/>
              <w:szCs w:val="28"/>
            </w:rPr>
            <w:fldChar w:fldCharType="separate"/>
          </w:r>
          <w:r>
            <w:rPr>
              <w:rFonts w:ascii="宋体" w:hAnsi="宋体" w:eastAsia="宋体" w:cs="宋体"/>
              <w:sz w:val="28"/>
              <w:szCs w:val="28"/>
            </w:rPr>
            <w:t>68</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70C70A3D">
          <w:pPr>
            <w:pStyle w:val="30"/>
            <w:tabs>
              <w:tab w:val="right" w:leader="dot" w:pos="8447"/>
              <w:tab w:val="clear" w:pos="8302"/>
            </w:tabs>
            <w:spacing w:line="480" w:lineRule="exact"/>
            <w:rPr>
              <w:rFonts w:ascii="宋体" w:hAnsi="宋体" w:eastAsia="宋体" w:cs="宋体"/>
            </w:rPr>
          </w:pPr>
          <w:r>
            <w:fldChar w:fldCharType="begin"/>
          </w:r>
          <w:r>
            <w:instrText xml:space="preserve"> HYPERLINK \l "_Toc30204" </w:instrText>
          </w:r>
          <w:r>
            <w:fldChar w:fldCharType="separate"/>
          </w:r>
          <w:r>
            <w:rPr>
              <w:rFonts w:hint="eastAsia" w:ascii="宋体" w:hAnsi="宋体" w:eastAsia="宋体" w:cs="宋体"/>
            </w:rPr>
            <w:t>第七章 弘扬生态文化，培育生态文明意识</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_Toc30204 \h </w:instrText>
          </w:r>
          <w:r>
            <w:rPr>
              <w:rFonts w:hint="eastAsia" w:ascii="宋体" w:hAnsi="宋体" w:eastAsia="宋体" w:cs="宋体"/>
            </w:rPr>
            <w:fldChar w:fldCharType="separate"/>
          </w:r>
          <w:r>
            <w:rPr>
              <w:rFonts w:ascii="宋体" w:hAnsi="宋体" w:eastAsia="宋体" w:cs="宋体"/>
            </w:rPr>
            <w:t>70</w:t>
          </w:r>
          <w:r>
            <w:rPr>
              <w:rFonts w:hint="eastAsia" w:ascii="宋体" w:hAnsi="宋体" w:eastAsia="宋体" w:cs="宋体"/>
            </w:rPr>
            <w:fldChar w:fldCharType="end"/>
          </w:r>
          <w:r>
            <w:rPr>
              <w:rFonts w:hint="eastAsia" w:ascii="宋体" w:hAnsi="宋体" w:eastAsia="宋体" w:cs="宋体"/>
            </w:rPr>
            <w:fldChar w:fldCharType="end"/>
          </w:r>
        </w:p>
        <w:p w14:paraId="1EE0CA7C">
          <w:pPr>
            <w:pStyle w:val="35"/>
            <w:tabs>
              <w:tab w:val="right" w:leader="dot" w:pos="8447"/>
            </w:tabs>
            <w:spacing w:line="480" w:lineRule="exact"/>
            <w:rPr>
              <w:rFonts w:ascii="宋体" w:hAnsi="宋体" w:eastAsia="宋体" w:cs="宋体"/>
              <w:sz w:val="28"/>
              <w:szCs w:val="28"/>
            </w:rPr>
          </w:pPr>
          <w:r>
            <w:fldChar w:fldCharType="begin"/>
          </w:r>
          <w:r>
            <w:instrText xml:space="preserve"> HYPERLINK \l "_Toc20562" </w:instrText>
          </w:r>
          <w:r>
            <w:fldChar w:fldCharType="separate"/>
          </w:r>
          <w:r>
            <w:rPr>
              <w:rFonts w:hint="eastAsia" w:ascii="宋体" w:hAnsi="宋体" w:eastAsia="宋体" w:cs="宋体"/>
              <w:bCs/>
              <w:sz w:val="28"/>
              <w:szCs w:val="28"/>
            </w:rPr>
            <w:t>第一节  加快培育生态文明意识</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_Toc20562 \h </w:instrText>
          </w:r>
          <w:r>
            <w:rPr>
              <w:rFonts w:hint="eastAsia" w:ascii="宋体" w:hAnsi="宋体" w:eastAsia="宋体" w:cs="宋体"/>
              <w:sz w:val="28"/>
              <w:szCs w:val="28"/>
            </w:rPr>
            <w:fldChar w:fldCharType="separate"/>
          </w:r>
          <w:r>
            <w:rPr>
              <w:rFonts w:ascii="宋体" w:hAnsi="宋体" w:eastAsia="宋体" w:cs="宋体"/>
              <w:sz w:val="28"/>
              <w:szCs w:val="28"/>
            </w:rPr>
            <w:t>70</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30C4C87F">
          <w:pPr>
            <w:pStyle w:val="35"/>
            <w:tabs>
              <w:tab w:val="right" w:leader="dot" w:pos="8447"/>
            </w:tabs>
            <w:spacing w:line="480" w:lineRule="exact"/>
            <w:rPr>
              <w:rFonts w:ascii="宋体" w:hAnsi="宋体" w:eastAsia="宋体" w:cs="宋体"/>
              <w:sz w:val="28"/>
              <w:szCs w:val="28"/>
            </w:rPr>
          </w:pPr>
          <w:r>
            <w:fldChar w:fldCharType="begin"/>
          </w:r>
          <w:r>
            <w:instrText xml:space="preserve"> HYPERLINK \l "_Toc611" </w:instrText>
          </w:r>
          <w:r>
            <w:fldChar w:fldCharType="separate"/>
          </w:r>
          <w:r>
            <w:rPr>
              <w:rFonts w:hint="eastAsia" w:ascii="宋体" w:hAnsi="宋体" w:eastAsia="宋体" w:cs="宋体"/>
              <w:bCs/>
              <w:sz w:val="28"/>
              <w:szCs w:val="28"/>
            </w:rPr>
            <w:t>第二节  弘扬特色传统文化</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_Toc611 \h </w:instrText>
          </w:r>
          <w:r>
            <w:rPr>
              <w:rFonts w:hint="eastAsia" w:ascii="宋体" w:hAnsi="宋体" w:eastAsia="宋体" w:cs="宋体"/>
              <w:sz w:val="28"/>
              <w:szCs w:val="28"/>
            </w:rPr>
            <w:fldChar w:fldCharType="separate"/>
          </w:r>
          <w:r>
            <w:rPr>
              <w:rFonts w:ascii="宋体" w:hAnsi="宋体" w:eastAsia="宋体" w:cs="宋体"/>
              <w:sz w:val="28"/>
              <w:szCs w:val="28"/>
            </w:rPr>
            <w:t>72</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084C74A0">
          <w:pPr>
            <w:pStyle w:val="35"/>
            <w:tabs>
              <w:tab w:val="right" w:leader="dot" w:pos="8447"/>
            </w:tabs>
            <w:spacing w:line="480" w:lineRule="exact"/>
            <w:rPr>
              <w:rFonts w:ascii="宋体" w:hAnsi="宋体" w:eastAsia="宋体" w:cs="宋体"/>
              <w:sz w:val="28"/>
              <w:szCs w:val="28"/>
            </w:rPr>
          </w:pPr>
          <w:r>
            <w:fldChar w:fldCharType="begin"/>
          </w:r>
          <w:r>
            <w:instrText xml:space="preserve"> HYPERLINK \l "_Toc26275" </w:instrText>
          </w:r>
          <w:r>
            <w:fldChar w:fldCharType="separate"/>
          </w:r>
          <w:r>
            <w:rPr>
              <w:rFonts w:hint="eastAsia" w:ascii="宋体" w:hAnsi="宋体" w:eastAsia="宋体" w:cs="宋体"/>
              <w:bCs/>
              <w:sz w:val="28"/>
              <w:szCs w:val="28"/>
            </w:rPr>
            <w:t>第三节  提升生态文明共建共享水平</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_Toc26275 \h </w:instrText>
          </w:r>
          <w:r>
            <w:rPr>
              <w:rFonts w:hint="eastAsia" w:ascii="宋体" w:hAnsi="宋体" w:eastAsia="宋体" w:cs="宋体"/>
              <w:sz w:val="28"/>
              <w:szCs w:val="28"/>
            </w:rPr>
            <w:fldChar w:fldCharType="separate"/>
          </w:r>
          <w:r>
            <w:rPr>
              <w:rFonts w:ascii="宋体" w:hAnsi="宋体" w:eastAsia="宋体" w:cs="宋体"/>
              <w:sz w:val="28"/>
              <w:szCs w:val="28"/>
            </w:rPr>
            <w:t>75</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7822D259">
          <w:pPr>
            <w:pStyle w:val="35"/>
            <w:tabs>
              <w:tab w:val="right" w:leader="dot" w:pos="8447"/>
            </w:tabs>
            <w:spacing w:line="480" w:lineRule="exact"/>
            <w:rPr>
              <w:rFonts w:ascii="宋体" w:hAnsi="宋体" w:eastAsia="宋体" w:cs="宋体"/>
              <w:sz w:val="28"/>
              <w:szCs w:val="28"/>
            </w:rPr>
          </w:pPr>
          <w:r>
            <w:fldChar w:fldCharType="begin"/>
          </w:r>
          <w:r>
            <w:instrText xml:space="preserve"> HYPERLINK \l "_Toc20853" </w:instrText>
          </w:r>
          <w:r>
            <w:fldChar w:fldCharType="separate"/>
          </w:r>
          <w:r>
            <w:rPr>
              <w:rFonts w:hint="eastAsia" w:ascii="宋体" w:hAnsi="宋体" w:eastAsia="宋体" w:cs="宋体"/>
              <w:bCs/>
              <w:sz w:val="28"/>
              <w:szCs w:val="28"/>
            </w:rPr>
            <w:t>第四节  开展示范创建和绿色细胞建设</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_Toc20853 \h </w:instrText>
          </w:r>
          <w:r>
            <w:rPr>
              <w:rFonts w:hint="eastAsia" w:ascii="宋体" w:hAnsi="宋体" w:eastAsia="宋体" w:cs="宋体"/>
              <w:sz w:val="28"/>
              <w:szCs w:val="28"/>
            </w:rPr>
            <w:fldChar w:fldCharType="separate"/>
          </w:r>
          <w:r>
            <w:rPr>
              <w:rFonts w:ascii="宋体" w:hAnsi="宋体" w:eastAsia="宋体" w:cs="宋体"/>
              <w:sz w:val="28"/>
              <w:szCs w:val="28"/>
            </w:rPr>
            <w:t>77</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6AEC9152">
          <w:pPr>
            <w:pStyle w:val="30"/>
            <w:tabs>
              <w:tab w:val="right" w:leader="dot" w:pos="8447"/>
              <w:tab w:val="clear" w:pos="8302"/>
            </w:tabs>
            <w:spacing w:line="480" w:lineRule="exact"/>
            <w:rPr>
              <w:rFonts w:ascii="宋体" w:hAnsi="宋体" w:eastAsia="宋体" w:cs="宋体"/>
            </w:rPr>
          </w:pPr>
          <w:r>
            <w:fldChar w:fldCharType="begin"/>
          </w:r>
          <w:r>
            <w:instrText xml:space="preserve"> HYPERLINK \l "_Toc30076" </w:instrText>
          </w:r>
          <w:r>
            <w:fldChar w:fldCharType="separate"/>
          </w:r>
          <w:r>
            <w:rPr>
              <w:rFonts w:hint="eastAsia" w:ascii="宋体" w:hAnsi="宋体" w:eastAsia="宋体" w:cs="宋体"/>
            </w:rPr>
            <w:t>第八章 深化机制体制改革，落实生态文明制度</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_Toc30076 \h </w:instrText>
          </w:r>
          <w:r>
            <w:rPr>
              <w:rFonts w:hint="eastAsia" w:ascii="宋体" w:hAnsi="宋体" w:eastAsia="宋体" w:cs="宋体"/>
            </w:rPr>
            <w:fldChar w:fldCharType="separate"/>
          </w:r>
          <w:r>
            <w:rPr>
              <w:rFonts w:ascii="宋体" w:hAnsi="宋体" w:eastAsia="宋体" w:cs="宋体"/>
            </w:rPr>
            <w:t>79</w:t>
          </w:r>
          <w:r>
            <w:rPr>
              <w:rFonts w:hint="eastAsia" w:ascii="宋体" w:hAnsi="宋体" w:eastAsia="宋体" w:cs="宋体"/>
            </w:rPr>
            <w:fldChar w:fldCharType="end"/>
          </w:r>
          <w:r>
            <w:rPr>
              <w:rFonts w:hint="eastAsia" w:ascii="宋体" w:hAnsi="宋体" w:eastAsia="宋体" w:cs="宋体"/>
            </w:rPr>
            <w:fldChar w:fldCharType="end"/>
          </w:r>
        </w:p>
        <w:p w14:paraId="108FF3B3">
          <w:pPr>
            <w:pStyle w:val="35"/>
            <w:tabs>
              <w:tab w:val="right" w:leader="dot" w:pos="8447"/>
            </w:tabs>
            <w:spacing w:line="480" w:lineRule="exact"/>
            <w:rPr>
              <w:rFonts w:ascii="宋体" w:hAnsi="宋体" w:eastAsia="宋体" w:cs="宋体"/>
              <w:sz w:val="28"/>
              <w:szCs w:val="28"/>
            </w:rPr>
          </w:pPr>
          <w:r>
            <w:fldChar w:fldCharType="begin"/>
          </w:r>
          <w:r>
            <w:instrText xml:space="preserve"> HYPERLINK \l "_Toc6752" </w:instrText>
          </w:r>
          <w:r>
            <w:fldChar w:fldCharType="separate"/>
          </w:r>
          <w:r>
            <w:rPr>
              <w:rFonts w:hint="eastAsia" w:ascii="宋体" w:hAnsi="宋体" w:eastAsia="宋体" w:cs="宋体"/>
              <w:bCs/>
              <w:sz w:val="28"/>
              <w:szCs w:val="28"/>
            </w:rPr>
            <w:t>第一节  源头保护制度</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_Toc6752 \h </w:instrText>
          </w:r>
          <w:r>
            <w:rPr>
              <w:rFonts w:hint="eastAsia" w:ascii="宋体" w:hAnsi="宋体" w:eastAsia="宋体" w:cs="宋体"/>
              <w:sz w:val="28"/>
              <w:szCs w:val="28"/>
            </w:rPr>
            <w:fldChar w:fldCharType="separate"/>
          </w:r>
          <w:r>
            <w:rPr>
              <w:rFonts w:ascii="宋体" w:hAnsi="宋体" w:eastAsia="宋体" w:cs="宋体"/>
              <w:sz w:val="28"/>
              <w:szCs w:val="28"/>
            </w:rPr>
            <w:t>79</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7D84C5B5">
          <w:pPr>
            <w:pStyle w:val="35"/>
            <w:tabs>
              <w:tab w:val="right" w:leader="dot" w:pos="8447"/>
            </w:tabs>
            <w:spacing w:line="480" w:lineRule="exact"/>
            <w:rPr>
              <w:rFonts w:ascii="宋体" w:hAnsi="宋体" w:eastAsia="宋体" w:cs="宋体"/>
              <w:sz w:val="28"/>
              <w:szCs w:val="28"/>
            </w:rPr>
          </w:pPr>
          <w:r>
            <w:fldChar w:fldCharType="begin"/>
          </w:r>
          <w:r>
            <w:instrText xml:space="preserve"> HYPERLINK \l "_Toc32120" </w:instrText>
          </w:r>
          <w:r>
            <w:fldChar w:fldCharType="separate"/>
          </w:r>
          <w:r>
            <w:rPr>
              <w:rFonts w:hint="eastAsia" w:ascii="宋体" w:hAnsi="宋体" w:eastAsia="宋体" w:cs="宋体"/>
              <w:bCs/>
              <w:sz w:val="28"/>
              <w:szCs w:val="28"/>
            </w:rPr>
            <w:t>第二节  过程控制制度</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_Toc32120 \h </w:instrText>
          </w:r>
          <w:r>
            <w:rPr>
              <w:rFonts w:hint="eastAsia" w:ascii="宋体" w:hAnsi="宋体" w:eastAsia="宋体" w:cs="宋体"/>
              <w:sz w:val="28"/>
              <w:szCs w:val="28"/>
            </w:rPr>
            <w:fldChar w:fldCharType="separate"/>
          </w:r>
          <w:r>
            <w:rPr>
              <w:rFonts w:ascii="宋体" w:hAnsi="宋体" w:eastAsia="宋体" w:cs="宋体"/>
              <w:sz w:val="28"/>
              <w:szCs w:val="28"/>
            </w:rPr>
            <w:t>82</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69A1ACFC">
          <w:pPr>
            <w:pStyle w:val="35"/>
            <w:tabs>
              <w:tab w:val="right" w:leader="dot" w:pos="8447"/>
            </w:tabs>
            <w:spacing w:line="480" w:lineRule="exact"/>
            <w:rPr>
              <w:rFonts w:ascii="宋体" w:hAnsi="宋体" w:eastAsia="宋体" w:cs="宋体"/>
              <w:sz w:val="28"/>
              <w:szCs w:val="28"/>
            </w:rPr>
          </w:pPr>
          <w:r>
            <w:fldChar w:fldCharType="begin"/>
          </w:r>
          <w:r>
            <w:instrText xml:space="preserve"> HYPERLINK \l "_Toc4308" </w:instrText>
          </w:r>
          <w:r>
            <w:fldChar w:fldCharType="separate"/>
          </w:r>
          <w:r>
            <w:rPr>
              <w:rFonts w:hint="eastAsia" w:ascii="宋体" w:hAnsi="宋体" w:eastAsia="宋体" w:cs="宋体"/>
              <w:bCs/>
              <w:sz w:val="28"/>
              <w:szCs w:val="28"/>
            </w:rPr>
            <w:t>第三节  损害赔偿和责任追究制度</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_Toc4308 \h </w:instrText>
          </w:r>
          <w:r>
            <w:rPr>
              <w:rFonts w:hint="eastAsia" w:ascii="宋体" w:hAnsi="宋体" w:eastAsia="宋体" w:cs="宋体"/>
              <w:sz w:val="28"/>
              <w:szCs w:val="28"/>
            </w:rPr>
            <w:fldChar w:fldCharType="separate"/>
          </w:r>
          <w:r>
            <w:rPr>
              <w:rFonts w:ascii="宋体" w:hAnsi="宋体" w:eastAsia="宋体" w:cs="宋体"/>
              <w:sz w:val="28"/>
              <w:szCs w:val="28"/>
            </w:rPr>
            <w:t>84</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7A761FAD">
          <w:pPr>
            <w:pStyle w:val="35"/>
            <w:tabs>
              <w:tab w:val="right" w:leader="dot" w:pos="8447"/>
            </w:tabs>
            <w:spacing w:line="480" w:lineRule="exact"/>
            <w:rPr>
              <w:rFonts w:ascii="宋体" w:hAnsi="宋体" w:eastAsia="宋体" w:cs="宋体"/>
              <w:sz w:val="28"/>
              <w:szCs w:val="28"/>
            </w:rPr>
          </w:pPr>
          <w:r>
            <w:fldChar w:fldCharType="begin"/>
          </w:r>
          <w:r>
            <w:instrText xml:space="preserve"> HYPERLINK \l "_Toc19203" </w:instrText>
          </w:r>
          <w:r>
            <w:fldChar w:fldCharType="separate"/>
          </w:r>
          <w:r>
            <w:rPr>
              <w:rFonts w:hint="eastAsia" w:ascii="宋体" w:hAnsi="宋体" w:eastAsia="宋体" w:cs="宋体"/>
              <w:bCs/>
              <w:sz w:val="28"/>
              <w:szCs w:val="28"/>
            </w:rPr>
            <w:t>第四节  环境经济政策</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_Toc19203 \h </w:instrText>
          </w:r>
          <w:r>
            <w:rPr>
              <w:rFonts w:hint="eastAsia" w:ascii="宋体" w:hAnsi="宋体" w:eastAsia="宋体" w:cs="宋体"/>
              <w:sz w:val="28"/>
              <w:szCs w:val="28"/>
            </w:rPr>
            <w:fldChar w:fldCharType="separate"/>
          </w:r>
          <w:r>
            <w:rPr>
              <w:rFonts w:ascii="宋体" w:hAnsi="宋体" w:eastAsia="宋体" w:cs="宋体"/>
              <w:sz w:val="28"/>
              <w:szCs w:val="28"/>
            </w:rPr>
            <w:t>85</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20AA31C7">
          <w:pPr>
            <w:pStyle w:val="35"/>
            <w:tabs>
              <w:tab w:val="right" w:leader="dot" w:pos="8447"/>
            </w:tabs>
            <w:spacing w:line="480" w:lineRule="exact"/>
            <w:rPr>
              <w:rFonts w:ascii="宋体" w:hAnsi="宋体" w:eastAsia="宋体" w:cs="宋体"/>
              <w:sz w:val="28"/>
              <w:szCs w:val="28"/>
            </w:rPr>
          </w:pPr>
          <w:r>
            <w:fldChar w:fldCharType="begin"/>
          </w:r>
          <w:r>
            <w:instrText xml:space="preserve"> HYPERLINK \l "_Toc289" </w:instrText>
          </w:r>
          <w:r>
            <w:fldChar w:fldCharType="separate"/>
          </w:r>
          <w:r>
            <w:rPr>
              <w:rFonts w:hint="eastAsia" w:ascii="宋体" w:hAnsi="宋体" w:eastAsia="宋体" w:cs="宋体"/>
              <w:bCs/>
              <w:sz w:val="28"/>
              <w:szCs w:val="28"/>
            </w:rPr>
            <w:t>第五节  市场运行机制</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_Toc289 \h </w:instrText>
          </w:r>
          <w:r>
            <w:rPr>
              <w:rFonts w:hint="eastAsia" w:ascii="宋体" w:hAnsi="宋体" w:eastAsia="宋体" w:cs="宋体"/>
              <w:sz w:val="28"/>
              <w:szCs w:val="28"/>
            </w:rPr>
            <w:fldChar w:fldCharType="separate"/>
          </w:r>
          <w:r>
            <w:rPr>
              <w:rFonts w:ascii="宋体" w:hAnsi="宋体" w:eastAsia="宋体" w:cs="宋体"/>
              <w:sz w:val="28"/>
              <w:szCs w:val="28"/>
            </w:rPr>
            <w:t>87</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3C445192">
          <w:pPr>
            <w:pStyle w:val="30"/>
            <w:tabs>
              <w:tab w:val="right" w:leader="dot" w:pos="8447"/>
              <w:tab w:val="clear" w:pos="8302"/>
            </w:tabs>
            <w:spacing w:line="480" w:lineRule="exact"/>
            <w:rPr>
              <w:rFonts w:ascii="宋体" w:hAnsi="宋体" w:eastAsia="宋体" w:cs="宋体"/>
            </w:rPr>
          </w:pPr>
          <w:r>
            <w:fldChar w:fldCharType="begin"/>
          </w:r>
          <w:r>
            <w:instrText xml:space="preserve"> HYPERLINK \l "_Toc11381" </w:instrText>
          </w:r>
          <w:r>
            <w:fldChar w:fldCharType="separate"/>
          </w:r>
          <w:r>
            <w:rPr>
              <w:rFonts w:hint="eastAsia" w:ascii="宋体" w:hAnsi="宋体" w:eastAsia="宋体" w:cs="宋体"/>
            </w:rPr>
            <w:t>第九章 重点工程</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_Toc11381 \h </w:instrText>
          </w:r>
          <w:r>
            <w:rPr>
              <w:rFonts w:hint="eastAsia" w:ascii="宋体" w:hAnsi="宋体" w:eastAsia="宋体" w:cs="宋体"/>
            </w:rPr>
            <w:fldChar w:fldCharType="separate"/>
          </w:r>
          <w:r>
            <w:rPr>
              <w:rFonts w:ascii="宋体" w:hAnsi="宋体" w:eastAsia="宋体" w:cs="宋体"/>
            </w:rPr>
            <w:t>88</w:t>
          </w:r>
          <w:r>
            <w:rPr>
              <w:rFonts w:hint="eastAsia" w:ascii="宋体" w:hAnsi="宋体" w:eastAsia="宋体" w:cs="宋体"/>
            </w:rPr>
            <w:fldChar w:fldCharType="end"/>
          </w:r>
          <w:r>
            <w:rPr>
              <w:rFonts w:hint="eastAsia" w:ascii="宋体" w:hAnsi="宋体" w:eastAsia="宋体" w:cs="宋体"/>
            </w:rPr>
            <w:fldChar w:fldCharType="end"/>
          </w:r>
        </w:p>
        <w:p w14:paraId="23FA234F">
          <w:pPr>
            <w:pStyle w:val="30"/>
            <w:tabs>
              <w:tab w:val="right" w:leader="dot" w:pos="8447"/>
              <w:tab w:val="clear" w:pos="8302"/>
            </w:tabs>
            <w:spacing w:line="480" w:lineRule="exact"/>
            <w:rPr>
              <w:rFonts w:ascii="宋体" w:hAnsi="宋体" w:eastAsia="宋体" w:cs="宋体"/>
            </w:rPr>
          </w:pPr>
          <w:r>
            <w:fldChar w:fldCharType="begin"/>
          </w:r>
          <w:r>
            <w:instrText xml:space="preserve"> HYPERLINK \l "_Toc3678" </w:instrText>
          </w:r>
          <w:r>
            <w:fldChar w:fldCharType="separate"/>
          </w:r>
          <w:r>
            <w:rPr>
              <w:rFonts w:hint="eastAsia" w:ascii="宋体" w:hAnsi="宋体" w:eastAsia="宋体" w:cs="宋体"/>
            </w:rPr>
            <w:t>第十章 保障措施</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_Toc3678 \h </w:instrText>
          </w:r>
          <w:r>
            <w:rPr>
              <w:rFonts w:hint="eastAsia" w:ascii="宋体" w:hAnsi="宋体" w:eastAsia="宋体" w:cs="宋体"/>
            </w:rPr>
            <w:fldChar w:fldCharType="separate"/>
          </w:r>
          <w:r>
            <w:rPr>
              <w:rFonts w:ascii="宋体" w:hAnsi="宋体" w:eastAsia="宋体" w:cs="宋体"/>
            </w:rPr>
            <w:t>91</w:t>
          </w:r>
          <w:r>
            <w:rPr>
              <w:rFonts w:hint="eastAsia" w:ascii="宋体" w:hAnsi="宋体" w:eastAsia="宋体" w:cs="宋体"/>
            </w:rPr>
            <w:fldChar w:fldCharType="end"/>
          </w:r>
          <w:r>
            <w:rPr>
              <w:rFonts w:hint="eastAsia" w:ascii="宋体" w:hAnsi="宋体" w:eastAsia="宋体" w:cs="宋体"/>
            </w:rPr>
            <w:fldChar w:fldCharType="end"/>
          </w:r>
        </w:p>
        <w:p w14:paraId="4E295C4C">
          <w:pPr>
            <w:pStyle w:val="35"/>
            <w:tabs>
              <w:tab w:val="right" w:leader="dot" w:pos="8447"/>
            </w:tabs>
            <w:spacing w:line="480" w:lineRule="exact"/>
            <w:rPr>
              <w:rFonts w:ascii="宋体" w:hAnsi="宋体" w:eastAsia="宋体" w:cs="宋体"/>
              <w:sz w:val="28"/>
              <w:szCs w:val="28"/>
            </w:rPr>
          </w:pPr>
          <w:r>
            <w:fldChar w:fldCharType="begin"/>
          </w:r>
          <w:r>
            <w:instrText xml:space="preserve"> HYPERLINK \l "_Toc5669" </w:instrText>
          </w:r>
          <w:r>
            <w:fldChar w:fldCharType="separate"/>
          </w:r>
          <w:r>
            <w:rPr>
              <w:rFonts w:hint="eastAsia" w:ascii="宋体" w:hAnsi="宋体" w:eastAsia="宋体" w:cs="宋体"/>
              <w:bCs/>
              <w:sz w:val="28"/>
              <w:szCs w:val="28"/>
            </w:rPr>
            <w:t>第一节  加强组织领导</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_Toc5669 \h </w:instrText>
          </w:r>
          <w:r>
            <w:rPr>
              <w:rFonts w:hint="eastAsia" w:ascii="宋体" w:hAnsi="宋体" w:eastAsia="宋体" w:cs="宋体"/>
              <w:sz w:val="28"/>
              <w:szCs w:val="28"/>
            </w:rPr>
            <w:fldChar w:fldCharType="separate"/>
          </w:r>
          <w:r>
            <w:rPr>
              <w:rFonts w:ascii="宋体" w:hAnsi="宋体" w:eastAsia="宋体" w:cs="宋体"/>
              <w:sz w:val="28"/>
              <w:szCs w:val="28"/>
            </w:rPr>
            <w:t>91</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23C6BE35">
          <w:pPr>
            <w:pStyle w:val="35"/>
            <w:tabs>
              <w:tab w:val="right" w:leader="dot" w:pos="8447"/>
            </w:tabs>
            <w:spacing w:line="480" w:lineRule="exact"/>
            <w:rPr>
              <w:rFonts w:ascii="宋体" w:hAnsi="宋体" w:eastAsia="宋体" w:cs="宋体"/>
              <w:sz w:val="28"/>
              <w:szCs w:val="28"/>
            </w:rPr>
          </w:pPr>
          <w:r>
            <w:fldChar w:fldCharType="begin"/>
          </w:r>
          <w:r>
            <w:instrText xml:space="preserve"> HYPERLINK \l "_Toc10939" </w:instrText>
          </w:r>
          <w:r>
            <w:fldChar w:fldCharType="separate"/>
          </w:r>
          <w:r>
            <w:rPr>
              <w:rFonts w:hint="eastAsia" w:ascii="宋体" w:hAnsi="宋体" w:eastAsia="宋体" w:cs="宋体"/>
              <w:bCs/>
              <w:sz w:val="28"/>
              <w:szCs w:val="28"/>
            </w:rPr>
            <w:t>第二节  强化</w:t>
          </w:r>
          <w:r>
            <w:rPr>
              <w:rFonts w:hint="eastAsia" w:ascii="宋体" w:hAnsi="宋体" w:eastAsia="宋体" w:cs="宋体"/>
              <w:bCs/>
              <w:sz w:val="28"/>
              <w:szCs w:val="28"/>
              <w:lang w:val="zh-CN"/>
            </w:rPr>
            <w:t>法制保障</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_Toc10939 \h </w:instrText>
          </w:r>
          <w:r>
            <w:rPr>
              <w:rFonts w:hint="eastAsia" w:ascii="宋体" w:hAnsi="宋体" w:eastAsia="宋体" w:cs="宋体"/>
              <w:sz w:val="28"/>
              <w:szCs w:val="28"/>
            </w:rPr>
            <w:fldChar w:fldCharType="separate"/>
          </w:r>
          <w:r>
            <w:rPr>
              <w:rFonts w:ascii="宋体" w:hAnsi="宋体" w:eastAsia="宋体" w:cs="宋体"/>
              <w:sz w:val="28"/>
              <w:szCs w:val="28"/>
            </w:rPr>
            <w:t>91</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1A7BAEA1">
          <w:pPr>
            <w:pStyle w:val="35"/>
            <w:tabs>
              <w:tab w:val="right" w:leader="dot" w:pos="8447"/>
            </w:tabs>
            <w:spacing w:line="480" w:lineRule="exact"/>
            <w:rPr>
              <w:rFonts w:ascii="宋体" w:hAnsi="宋体" w:eastAsia="宋体" w:cs="宋体"/>
              <w:sz w:val="28"/>
              <w:szCs w:val="28"/>
            </w:rPr>
          </w:pPr>
          <w:r>
            <w:fldChar w:fldCharType="begin"/>
          </w:r>
          <w:r>
            <w:instrText xml:space="preserve"> HYPERLINK \l "_Toc3053" </w:instrText>
          </w:r>
          <w:r>
            <w:fldChar w:fldCharType="separate"/>
          </w:r>
          <w:r>
            <w:rPr>
              <w:rFonts w:hint="eastAsia" w:ascii="宋体" w:hAnsi="宋体" w:eastAsia="宋体" w:cs="宋体"/>
              <w:bCs/>
              <w:sz w:val="28"/>
              <w:szCs w:val="28"/>
            </w:rPr>
            <w:t>第三节  加大资金投入</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_Toc3053 \h </w:instrText>
          </w:r>
          <w:r>
            <w:rPr>
              <w:rFonts w:hint="eastAsia" w:ascii="宋体" w:hAnsi="宋体" w:eastAsia="宋体" w:cs="宋体"/>
              <w:sz w:val="28"/>
              <w:szCs w:val="28"/>
            </w:rPr>
            <w:fldChar w:fldCharType="separate"/>
          </w:r>
          <w:r>
            <w:rPr>
              <w:rFonts w:ascii="宋体" w:hAnsi="宋体" w:eastAsia="宋体" w:cs="宋体"/>
              <w:sz w:val="28"/>
              <w:szCs w:val="28"/>
            </w:rPr>
            <w:t>92</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15E712E2">
          <w:pPr>
            <w:pStyle w:val="35"/>
            <w:tabs>
              <w:tab w:val="right" w:leader="dot" w:pos="8447"/>
            </w:tabs>
            <w:spacing w:line="480" w:lineRule="exact"/>
            <w:rPr>
              <w:rFonts w:ascii="宋体" w:hAnsi="宋体" w:eastAsia="宋体" w:cs="宋体"/>
              <w:sz w:val="28"/>
              <w:szCs w:val="28"/>
            </w:rPr>
          </w:pPr>
          <w:r>
            <w:fldChar w:fldCharType="begin"/>
          </w:r>
          <w:r>
            <w:instrText xml:space="preserve"> HYPERLINK \l "_Toc25447" </w:instrText>
          </w:r>
          <w:r>
            <w:fldChar w:fldCharType="separate"/>
          </w:r>
          <w:r>
            <w:rPr>
              <w:rFonts w:hint="eastAsia" w:ascii="宋体" w:hAnsi="宋体" w:eastAsia="宋体" w:cs="宋体"/>
              <w:bCs/>
              <w:sz w:val="28"/>
              <w:szCs w:val="28"/>
            </w:rPr>
            <w:t>第四节  推广</w:t>
          </w:r>
          <w:r>
            <w:rPr>
              <w:rFonts w:hint="eastAsia" w:ascii="宋体" w:hAnsi="宋体" w:eastAsia="宋体" w:cs="宋体"/>
              <w:bCs/>
              <w:sz w:val="28"/>
              <w:szCs w:val="28"/>
              <w:lang w:val="zh-CN"/>
            </w:rPr>
            <w:t>科技</w:t>
          </w:r>
          <w:r>
            <w:rPr>
              <w:rFonts w:hint="eastAsia" w:ascii="宋体" w:hAnsi="宋体" w:eastAsia="宋体" w:cs="宋体"/>
              <w:bCs/>
              <w:sz w:val="28"/>
              <w:szCs w:val="28"/>
            </w:rPr>
            <w:t>创新</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_Toc25447 \h </w:instrText>
          </w:r>
          <w:r>
            <w:rPr>
              <w:rFonts w:hint="eastAsia" w:ascii="宋体" w:hAnsi="宋体" w:eastAsia="宋体" w:cs="宋体"/>
              <w:sz w:val="28"/>
              <w:szCs w:val="28"/>
            </w:rPr>
            <w:fldChar w:fldCharType="separate"/>
          </w:r>
          <w:r>
            <w:rPr>
              <w:rFonts w:ascii="宋体" w:hAnsi="宋体" w:eastAsia="宋体" w:cs="宋体"/>
              <w:sz w:val="28"/>
              <w:szCs w:val="28"/>
            </w:rPr>
            <w:t>92</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5CCC2B03">
          <w:pPr>
            <w:pStyle w:val="35"/>
            <w:tabs>
              <w:tab w:val="right" w:leader="dot" w:pos="8447"/>
            </w:tabs>
            <w:spacing w:line="480" w:lineRule="exact"/>
            <w:rPr>
              <w:rFonts w:ascii="宋体" w:hAnsi="宋体" w:eastAsia="宋体" w:cs="宋体"/>
              <w:sz w:val="28"/>
              <w:szCs w:val="28"/>
            </w:rPr>
          </w:pPr>
          <w:r>
            <w:fldChar w:fldCharType="begin"/>
          </w:r>
          <w:r>
            <w:instrText xml:space="preserve"> HYPERLINK \l "_Toc9208" </w:instrText>
          </w:r>
          <w:r>
            <w:fldChar w:fldCharType="separate"/>
          </w:r>
          <w:r>
            <w:rPr>
              <w:rFonts w:hint="eastAsia" w:ascii="宋体" w:hAnsi="宋体" w:eastAsia="宋体" w:cs="宋体"/>
              <w:bCs/>
              <w:sz w:val="28"/>
              <w:szCs w:val="28"/>
            </w:rPr>
            <w:t>第五节  扩大舆论宣传</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_Toc9208 \h </w:instrText>
          </w:r>
          <w:r>
            <w:rPr>
              <w:rFonts w:hint="eastAsia" w:ascii="宋体" w:hAnsi="宋体" w:eastAsia="宋体" w:cs="宋体"/>
              <w:sz w:val="28"/>
              <w:szCs w:val="28"/>
            </w:rPr>
            <w:fldChar w:fldCharType="separate"/>
          </w:r>
          <w:r>
            <w:rPr>
              <w:rFonts w:ascii="宋体" w:hAnsi="宋体" w:eastAsia="宋体" w:cs="宋体"/>
              <w:sz w:val="28"/>
              <w:szCs w:val="28"/>
            </w:rPr>
            <w:t>93</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1F9AF3CC">
          <w:pPr>
            <w:pStyle w:val="30"/>
            <w:tabs>
              <w:tab w:val="right" w:leader="dot" w:pos="8447"/>
              <w:tab w:val="clear" w:pos="8302"/>
            </w:tabs>
            <w:spacing w:line="480" w:lineRule="exact"/>
            <w:rPr>
              <w:rFonts w:ascii="宋体" w:hAnsi="宋体" w:eastAsia="宋体" w:cs="宋体"/>
            </w:rPr>
          </w:pPr>
          <w:r>
            <w:fldChar w:fldCharType="begin"/>
          </w:r>
          <w:r>
            <w:instrText xml:space="preserve"> HYPERLINK \l "_Toc9400" </w:instrText>
          </w:r>
          <w:r>
            <w:fldChar w:fldCharType="separate"/>
          </w:r>
          <w:r>
            <w:rPr>
              <w:rFonts w:hint="eastAsia" w:ascii="宋体" w:hAnsi="宋体" w:eastAsia="宋体" w:cs="宋体"/>
            </w:rPr>
            <w:t>附表一  生态空间体系重点工程</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_Toc9400 \h </w:instrText>
          </w:r>
          <w:r>
            <w:rPr>
              <w:rFonts w:hint="eastAsia" w:ascii="宋体" w:hAnsi="宋体" w:eastAsia="宋体" w:cs="宋体"/>
            </w:rPr>
            <w:fldChar w:fldCharType="separate"/>
          </w:r>
          <w:r>
            <w:rPr>
              <w:rFonts w:ascii="宋体" w:hAnsi="宋体" w:eastAsia="宋体" w:cs="宋体"/>
            </w:rPr>
            <w:t>94</w:t>
          </w:r>
          <w:r>
            <w:rPr>
              <w:rFonts w:hint="eastAsia" w:ascii="宋体" w:hAnsi="宋体" w:eastAsia="宋体" w:cs="宋体"/>
            </w:rPr>
            <w:fldChar w:fldCharType="end"/>
          </w:r>
          <w:r>
            <w:rPr>
              <w:rFonts w:hint="eastAsia" w:ascii="宋体" w:hAnsi="宋体" w:eastAsia="宋体" w:cs="宋体"/>
            </w:rPr>
            <w:fldChar w:fldCharType="end"/>
          </w:r>
        </w:p>
        <w:p w14:paraId="1687AD8E">
          <w:pPr>
            <w:pStyle w:val="30"/>
            <w:tabs>
              <w:tab w:val="right" w:leader="dot" w:pos="8447"/>
              <w:tab w:val="clear" w:pos="8302"/>
            </w:tabs>
            <w:spacing w:line="480" w:lineRule="exact"/>
            <w:rPr>
              <w:rFonts w:ascii="宋体" w:hAnsi="宋体" w:eastAsia="宋体" w:cs="宋体"/>
            </w:rPr>
          </w:pPr>
          <w:r>
            <w:fldChar w:fldCharType="begin"/>
          </w:r>
          <w:r>
            <w:instrText xml:space="preserve"> HYPERLINK \l "_Toc21711" </w:instrText>
          </w:r>
          <w:r>
            <w:fldChar w:fldCharType="separate"/>
          </w:r>
          <w:r>
            <w:rPr>
              <w:rFonts w:hint="eastAsia" w:ascii="宋体" w:hAnsi="宋体" w:eastAsia="宋体" w:cs="宋体"/>
            </w:rPr>
            <w:t>附表二  生态安全体系重点项目</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_Toc21711 \h </w:instrText>
          </w:r>
          <w:r>
            <w:rPr>
              <w:rFonts w:hint="eastAsia" w:ascii="宋体" w:hAnsi="宋体" w:eastAsia="宋体" w:cs="宋体"/>
            </w:rPr>
            <w:fldChar w:fldCharType="separate"/>
          </w:r>
          <w:r>
            <w:rPr>
              <w:rFonts w:ascii="宋体" w:hAnsi="宋体" w:eastAsia="宋体" w:cs="宋体"/>
            </w:rPr>
            <w:t>95</w:t>
          </w:r>
          <w:r>
            <w:rPr>
              <w:rFonts w:hint="eastAsia" w:ascii="宋体" w:hAnsi="宋体" w:eastAsia="宋体" w:cs="宋体"/>
            </w:rPr>
            <w:fldChar w:fldCharType="end"/>
          </w:r>
          <w:r>
            <w:rPr>
              <w:rFonts w:hint="eastAsia" w:ascii="宋体" w:hAnsi="宋体" w:eastAsia="宋体" w:cs="宋体"/>
            </w:rPr>
            <w:fldChar w:fldCharType="end"/>
          </w:r>
        </w:p>
        <w:p w14:paraId="6E19EF42">
          <w:pPr>
            <w:pStyle w:val="30"/>
            <w:tabs>
              <w:tab w:val="right" w:leader="dot" w:pos="8447"/>
              <w:tab w:val="clear" w:pos="8302"/>
            </w:tabs>
            <w:spacing w:line="480" w:lineRule="exact"/>
            <w:rPr>
              <w:rFonts w:ascii="宋体" w:hAnsi="宋体" w:eastAsia="宋体" w:cs="宋体"/>
            </w:rPr>
          </w:pPr>
          <w:r>
            <w:fldChar w:fldCharType="begin"/>
          </w:r>
          <w:r>
            <w:instrText xml:space="preserve"> HYPERLINK \l "_Toc115" </w:instrText>
          </w:r>
          <w:r>
            <w:fldChar w:fldCharType="separate"/>
          </w:r>
          <w:r>
            <w:rPr>
              <w:rFonts w:hint="eastAsia" w:ascii="宋体" w:hAnsi="宋体" w:eastAsia="宋体" w:cs="宋体"/>
            </w:rPr>
            <w:t>附表三  生态经济体系重点项目</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_Toc115 \h </w:instrText>
          </w:r>
          <w:r>
            <w:rPr>
              <w:rFonts w:hint="eastAsia" w:ascii="宋体" w:hAnsi="宋体" w:eastAsia="宋体" w:cs="宋体"/>
            </w:rPr>
            <w:fldChar w:fldCharType="separate"/>
          </w:r>
          <w:r>
            <w:rPr>
              <w:rFonts w:ascii="宋体" w:hAnsi="宋体" w:eastAsia="宋体" w:cs="宋体"/>
            </w:rPr>
            <w:t>100</w:t>
          </w:r>
          <w:r>
            <w:rPr>
              <w:rFonts w:hint="eastAsia" w:ascii="宋体" w:hAnsi="宋体" w:eastAsia="宋体" w:cs="宋体"/>
            </w:rPr>
            <w:fldChar w:fldCharType="end"/>
          </w:r>
          <w:r>
            <w:rPr>
              <w:rFonts w:hint="eastAsia" w:ascii="宋体" w:hAnsi="宋体" w:eastAsia="宋体" w:cs="宋体"/>
            </w:rPr>
            <w:fldChar w:fldCharType="end"/>
          </w:r>
        </w:p>
        <w:p w14:paraId="73FCAC89">
          <w:pPr>
            <w:pStyle w:val="30"/>
            <w:tabs>
              <w:tab w:val="right" w:leader="dot" w:pos="8447"/>
              <w:tab w:val="clear" w:pos="8302"/>
            </w:tabs>
            <w:spacing w:line="480" w:lineRule="exact"/>
            <w:rPr>
              <w:rFonts w:ascii="宋体" w:hAnsi="宋体" w:eastAsia="宋体" w:cs="宋体"/>
            </w:rPr>
          </w:pPr>
          <w:r>
            <w:fldChar w:fldCharType="begin"/>
          </w:r>
          <w:r>
            <w:instrText xml:space="preserve"> HYPERLINK \l "_Toc4352" </w:instrText>
          </w:r>
          <w:r>
            <w:fldChar w:fldCharType="separate"/>
          </w:r>
          <w:r>
            <w:rPr>
              <w:rFonts w:hint="eastAsia" w:ascii="宋体" w:hAnsi="宋体" w:eastAsia="宋体" w:cs="宋体"/>
            </w:rPr>
            <w:t>附表四  生态生活体系重点工程</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_Toc4352 \h </w:instrText>
          </w:r>
          <w:r>
            <w:rPr>
              <w:rFonts w:hint="eastAsia" w:ascii="宋体" w:hAnsi="宋体" w:eastAsia="宋体" w:cs="宋体"/>
            </w:rPr>
            <w:fldChar w:fldCharType="separate"/>
          </w:r>
          <w:r>
            <w:rPr>
              <w:rFonts w:ascii="宋体" w:hAnsi="宋体" w:eastAsia="宋体" w:cs="宋体"/>
            </w:rPr>
            <w:t>104</w:t>
          </w:r>
          <w:r>
            <w:rPr>
              <w:rFonts w:hint="eastAsia" w:ascii="宋体" w:hAnsi="宋体" w:eastAsia="宋体" w:cs="宋体"/>
            </w:rPr>
            <w:fldChar w:fldCharType="end"/>
          </w:r>
          <w:r>
            <w:rPr>
              <w:rFonts w:hint="eastAsia" w:ascii="宋体" w:hAnsi="宋体" w:eastAsia="宋体" w:cs="宋体"/>
            </w:rPr>
            <w:fldChar w:fldCharType="end"/>
          </w:r>
        </w:p>
        <w:p w14:paraId="3F7403D3">
          <w:pPr>
            <w:pStyle w:val="30"/>
            <w:tabs>
              <w:tab w:val="right" w:leader="dot" w:pos="8447"/>
              <w:tab w:val="clear" w:pos="8302"/>
            </w:tabs>
            <w:spacing w:line="480" w:lineRule="exact"/>
            <w:rPr>
              <w:rFonts w:ascii="宋体" w:hAnsi="宋体" w:eastAsia="宋体" w:cs="宋体"/>
            </w:rPr>
          </w:pPr>
          <w:r>
            <w:fldChar w:fldCharType="begin"/>
          </w:r>
          <w:r>
            <w:instrText xml:space="preserve"> HYPERLINK \l "_Toc3936" </w:instrText>
          </w:r>
          <w:r>
            <w:fldChar w:fldCharType="separate"/>
          </w:r>
          <w:r>
            <w:rPr>
              <w:rFonts w:hint="eastAsia" w:ascii="宋体" w:hAnsi="宋体" w:eastAsia="宋体" w:cs="宋体"/>
            </w:rPr>
            <w:t>附表五  生态文化体系重点工程</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_Toc3936 \h </w:instrText>
          </w:r>
          <w:r>
            <w:rPr>
              <w:rFonts w:hint="eastAsia" w:ascii="宋体" w:hAnsi="宋体" w:eastAsia="宋体" w:cs="宋体"/>
            </w:rPr>
            <w:fldChar w:fldCharType="separate"/>
          </w:r>
          <w:r>
            <w:rPr>
              <w:rFonts w:ascii="宋体" w:hAnsi="宋体" w:eastAsia="宋体" w:cs="宋体"/>
            </w:rPr>
            <w:t>106</w:t>
          </w:r>
          <w:r>
            <w:rPr>
              <w:rFonts w:hint="eastAsia" w:ascii="宋体" w:hAnsi="宋体" w:eastAsia="宋体" w:cs="宋体"/>
            </w:rPr>
            <w:fldChar w:fldCharType="end"/>
          </w:r>
          <w:r>
            <w:rPr>
              <w:rFonts w:hint="eastAsia" w:ascii="宋体" w:hAnsi="宋体" w:eastAsia="宋体" w:cs="宋体"/>
            </w:rPr>
            <w:fldChar w:fldCharType="end"/>
          </w:r>
        </w:p>
        <w:p w14:paraId="60C37976">
          <w:pPr>
            <w:pStyle w:val="30"/>
            <w:tabs>
              <w:tab w:val="right" w:leader="dot" w:pos="8447"/>
              <w:tab w:val="clear" w:pos="8302"/>
            </w:tabs>
            <w:spacing w:line="480" w:lineRule="exact"/>
          </w:pPr>
          <w:r>
            <w:fldChar w:fldCharType="begin"/>
          </w:r>
          <w:r>
            <w:instrText xml:space="preserve"> HYPERLINK \l "_Toc1240" </w:instrText>
          </w:r>
          <w:r>
            <w:fldChar w:fldCharType="separate"/>
          </w:r>
          <w:r>
            <w:rPr>
              <w:rFonts w:hint="eastAsia" w:ascii="宋体" w:hAnsi="宋体" w:eastAsia="宋体" w:cs="宋体"/>
            </w:rPr>
            <w:t>附表六  生态制度体系重点工程</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_Toc1240 \h </w:instrText>
          </w:r>
          <w:r>
            <w:rPr>
              <w:rFonts w:hint="eastAsia" w:ascii="宋体" w:hAnsi="宋体" w:eastAsia="宋体" w:cs="宋体"/>
            </w:rPr>
            <w:fldChar w:fldCharType="separate"/>
          </w:r>
          <w:r>
            <w:rPr>
              <w:rFonts w:ascii="宋体" w:hAnsi="宋体" w:eastAsia="宋体" w:cs="宋体"/>
            </w:rPr>
            <w:t>107</w:t>
          </w:r>
          <w:r>
            <w:rPr>
              <w:rFonts w:hint="eastAsia" w:ascii="宋体" w:hAnsi="宋体" w:eastAsia="宋体" w:cs="宋体"/>
            </w:rPr>
            <w:fldChar w:fldCharType="end"/>
          </w:r>
          <w:r>
            <w:rPr>
              <w:rFonts w:hint="eastAsia" w:ascii="宋体" w:hAnsi="宋体" w:eastAsia="宋体" w:cs="宋体"/>
            </w:rPr>
            <w:fldChar w:fldCharType="end"/>
          </w:r>
          <w:r>
            <w:rPr>
              <w:rFonts w:hint="eastAsia" w:ascii="宋体" w:hAnsi="宋体" w:eastAsia="宋体" w:cs="宋体"/>
            </w:rPr>
            <w:fldChar w:fldCharType="end"/>
          </w:r>
        </w:p>
      </w:sdtContent>
    </w:sdt>
    <w:p w14:paraId="08F6D629">
      <w:pPr>
        <w:pageBreakBefore/>
        <w:spacing w:line="480" w:lineRule="exact"/>
        <w:jc w:val="center"/>
        <w:rPr>
          <w:rFonts w:ascii="方正小标宋简体" w:hAnsi="Times New Roman" w:eastAsia="方正小标宋简体" w:cs="Times New Roman"/>
          <w:sz w:val="44"/>
          <w:szCs w:val="44"/>
        </w:rPr>
        <w:sectPr>
          <w:footerReference r:id="rId5" w:type="default"/>
          <w:pgSz w:w="11906" w:h="16838"/>
          <w:pgMar w:top="1440" w:right="1701" w:bottom="1440" w:left="1758" w:header="851" w:footer="992" w:gutter="0"/>
          <w:pgNumType w:start="1"/>
          <w:cols w:space="425" w:num="1"/>
          <w:docGrid w:type="linesAndChars" w:linePitch="312" w:charSpace="0"/>
        </w:sectPr>
      </w:pPr>
      <w:bookmarkStart w:id="1" w:name="_Toc2678"/>
      <w:bookmarkStart w:id="2" w:name="_Toc16145"/>
      <w:bookmarkStart w:id="3" w:name="_Hlk533103076"/>
      <w:bookmarkStart w:id="4" w:name="_Toc532768872"/>
    </w:p>
    <w:p w14:paraId="1074A0F4">
      <w:pPr>
        <w:pageBreakBefore/>
        <w:spacing w:line="580" w:lineRule="exact"/>
        <w:jc w:val="center"/>
        <w:outlineLvl w:val="0"/>
        <w:rPr>
          <w:rFonts w:ascii="方正小标宋简体" w:hAnsi="Times New Roman" w:eastAsia="方正小标宋简体" w:cs="Times New Roman"/>
          <w:sz w:val="32"/>
          <w:szCs w:val="32"/>
        </w:rPr>
      </w:pPr>
      <w:bookmarkStart w:id="5" w:name="_Toc5443"/>
      <w:r>
        <w:rPr>
          <w:rFonts w:ascii="方正小标宋简体" w:hAnsi="Times New Roman" w:eastAsia="方正小标宋简体" w:cs="Times New Roman"/>
          <w:sz w:val="32"/>
          <w:szCs w:val="32"/>
        </w:rPr>
        <w:t>前  言</w:t>
      </w:r>
      <w:bookmarkEnd w:id="5"/>
    </w:p>
    <w:p w14:paraId="654F5D72">
      <w:pPr>
        <w:spacing w:line="560" w:lineRule="exact"/>
        <w:ind w:firstLine="600" w:firstLineChars="200"/>
        <w:rPr>
          <w:rFonts w:ascii="仿宋_GB2312" w:hAnsi="Times New Roman" w:eastAsia="仿宋_GB2312" w:cs="Times New Roman"/>
          <w:kern w:val="0"/>
          <w:sz w:val="30"/>
          <w:szCs w:val="30"/>
        </w:rPr>
      </w:pPr>
      <w:r>
        <w:rPr>
          <w:rFonts w:ascii="仿宋_GB2312" w:hAnsi="Times New Roman" w:eastAsia="仿宋_GB2312" w:cs="Times New Roman"/>
          <w:kern w:val="0"/>
          <w:sz w:val="30"/>
          <w:szCs w:val="30"/>
        </w:rPr>
        <w:t>生态文明建设是关系中华民族永续发展的根本大计。随着党的十九大把坚持人与自然和谐共生作为新时代中国特色社会主义建设的基本方略之一，并进一步明确了建设生态文明的目标指向和任务要求以及全国人大把生态文明写入宪法、全国生态环境保护大会确立习近平生态文明思想，生态文明建设作为新时代中国特色社会主义建设重要内容和根本任务的地位进一步凸显。</w:t>
      </w:r>
    </w:p>
    <w:p w14:paraId="30C0D015">
      <w:pPr>
        <w:spacing w:line="560" w:lineRule="exact"/>
        <w:ind w:firstLine="600" w:firstLineChars="200"/>
        <w:rPr>
          <w:rFonts w:ascii="仿宋_GB2312" w:hAnsi="Times New Roman" w:eastAsia="仿宋_GB2312" w:cs="Times New Roman"/>
          <w:kern w:val="0"/>
          <w:sz w:val="30"/>
          <w:szCs w:val="30"/>
        </w:rPr>
      </w:pPr>
      <w:r>
        <w:rPr>
          <w:rFonts w:hint="eastAsia" w:ascii="仿宋_GB2312" w:hAnsi="Times New Roman" w:eastAsia="仿宋_GB2312" w:cs="Times New Roman"/>
          <w:kern w:val="0"/>
          <w:sz w:val="30"/>
          <w:szCs w:val="30"/>
        </w:rPr>
        <w:t>洛隆</w:t>
      </w:r>
      <w:r>
        <w:rPr>
          <w:rFonts w:ascii="仿宋_GB2312" w:hAnsi="Times New Roman" w:eastAsia="仿宋_GB2312" w:cs="Times New Roman"/>
          <w:kern w:val="0"/>
          <w:sz w:val="30"/>
          <w:szCs w:val="30"/>
        </w:rPr>
        <w:t>县地处藏北草原向横断山脉过渡带，生态功能突出、生态环境优良，自然资源得天独厚，文化底蕴历史厚重。多年来，</w:t>
      </w:r>
      <w:r>
        <w:rPr>
          <w:rFonts w:hint="eastAsia" w:ascii="仿宋_GB2312" w:hAnsi="Times New Roman" w:eastAsia="仿宋_GB2312" w:cs="Times New Roman"/>
          <w:kern w:val="0"/>
          <w:sz w:val="30"/>
          <w:szCs w:val="30"/>
        </w:rPr>
        <w:t>洛隆</w:t>
      </w:r>
      <w:r>
        <w:rPr>
          <w:rFonts w:ascii="仿宋_GB2312" w:hAnsi="Times New Roman" w:eastAsia="仿宋_GB2312" w:cs="Times New Roman"/>
          <w:kern w:val="0"/>
          <w:sz w:val="30"/>
          <w:szCs w:val="30"/>
        </w:rPr>
        <w:t>县委、县政府始终坚持生态立县的理念，大力推进生态文明建设，取得了明显成效。编制</w:t>
      </w:r>
      <w:r>
        <w:rPr>
          <w:rFonts w:hint="eastAsia" w:ascii="仿宋_GB2312" w:hAnsi="Times New Roman" w:eastAsia="仿宋_GB2312" w:cs="Times New Roman"/>
          <w:kern w:val="0"/>
          <w:sz w:val="30"/>
          <w:szCs w:val="30"/>
        </w:rPr>
        <w:t>洛隆县</w:t>
      </w:r>
      <w:r>
        <w:rPr>
          <w:rFonts w:ascii="仿宋_GB2312" w:hAnsi="Times New Roman" w:eastAsia="仿宋_GB2312" w:cs="Times New Roman"/>
          <w:kern w:val="0"/>
          <w:sz w:val="30"/>
          <w:szCs w:val="30"/>
        </w:rPr>
        <w:t>西藏自治区生态文明建设示范县规划，创建西藏自治区生态文明建设示范县，事关</w:t>
      </w:r>
      <w:r>
        <w:rPr>
          <w:rFonts w:hint="eastAsia" w:ascii="仿宋_GB2312" w:hAnsi="Times New Roman" w:eastAsia="仿宋_GB2312" w:cs="Times New Roman"/>
          <w:kern w:val="0"/>
          <w:sz w:val="30"/>
          <w:szCs w:val="30"/>
        </w:rPr>
        <w:t>洛隆</w:t>
      </w:r>
      <w:r>
        <w:rPr>
          <w:rFonts w:ascii="仿宋_GB2312" w:hAnsi="Times New Roman" w:eastAsia="仿宋_GB2312" w:cs="Times New Roman"/>
          <w:kern w:val="0"/>
          <w:sz w:val="30"/>
          <w:szCs w:val="30"/>
        </w:rPr>
        <w:t>人民群众的福祉和国家的生态安全，事关能否更好践行“绿水青山就是金山银山，冰天雪地也是金山银山”理念</w:t>
      </w:r>
      <w:r>
        <w:rPr>
          <w:rFonts w:hint="eastAsia" w:ascii="仿宋_GB2312" w:hAnsi="Times New Roman" w:eastAsia="仿宋_GB2312" w:cs="Times New Roman"/>
          <w:kern w:val="0"/>
          <w:sz w:val="30"/>
          <w:szCs w:val="30"/>
        </w:rPr>
        <w:t>，事关</w:t>
      </w:r>
      <w:r>
        <w:rPr>
          <w:rFonts w:ascii="仿宋_GB2312" w:hAnsi="Times New Roman" w:eastAsia="仿宋_GB2312" w:cs="Times New Roman"/>
          <w:kern w:val="0"/>
          <w:sz w:val="30"/>
          <w:szCs w:val="30"/>
        </w:rPr>
        <w:t>协调推进“五位一体”战略布局，对推进</w:t>
      </w:r>
      <w:r>
        <w:rPr>
          <w:rFonts w:hint="eastAsia" w:ascii="仿宋_GB2312" w:hAnsi="Times New Roman" w:eastAsia="仿宋_GB2312" w:cs="Times New Roman"/>
          <w:kern w:val="0"/>
          <w:sz w:val="30"/>
          <w:szCs w:val="30"/>
        </w:rPr>
        <w:t>洛隆</w:t>
      </w:r>
      <w:r>
        <w:rPr>
          <w:rFonts w:ascii="仿宋_GB2312" w:hAnsi="Times New Roman" w:eastAsia="仿宋_GB2312" w:cs="Times New Roman"/>
          <w:kern w:val="0"/>
          <w:sz w:val="30"/>
          <w:szCs w:val="30"/>
        </w:rPr>
        <w:t>县高质量发展具有重大意义。</w:t>
      </w:r>
    </w:p>
    <w:p w14:paraId="6FFB7E28">
      <w:pPr>
        <w:spacing w:line="560" w:lineRule="exact"/>
        <w:ind w:firstLine="600" w:firstLineChars="200"/>
        <w:rPr>
          <w:rFonts w:ascii="仿宋_GB2312" w:hAnsi="Times New Roman" w:eastAsia="仿宋_GB2312" w:cs="Times New Roman"/>
          <w:kern w:val="0"/>
          <w:sz w:val="30"/>
          <w:szCs w:val="30"/>
        </w:rPr>
      </w:pPr>
      <w:r>
        <w:rPr>
          <w:rFonts w:ascii="Times New Roman" w:hAnsi="Times New Roman" w:eastAsia="仿宋_GB2312" w:cs="Times New Roman"/>
          <w:kern w:val="0"/>
          <w:sz w:val="30"/>
          <w:szCs w:val="30"/>
        </w:rPr>
        <w:t>本次规划范围为</w:t>
      </w:r>
      <w:r>
        <w:rPr>
          <w:rFonts w:hint="eastAsia" w:ascii="Times New Roman" w:hAnsi="Times New Roman" w:eastAsia="仿宋_GB2312" w:cs="Times New Roman"/>
          <w:kern w:val="0"/>
          <w:sz w:val="30"/>
          <w:szCs w:val="30"/>
        </w:rPr>
        <w:t>洛隆</w:t>
      </w:r>
      <w:r>
        <w:rPr>
          <w:rFonts w:ascii="Times New Roman" w:hAnsi="Times New Roman" w:eastAsia="仿宋_GB2312" w:cs="Times New Roman"/>
          <w:kern w:val="0"/>
          <w:sz w:val="30"/>
          <w:szCs w:val="30"/>
        </w:rPr>
        <w:t>县全域，11个乡镇（其中4个镇，7个乡），幅员面积8060.68km</w:t>
      </w:r>
      <w:r>
        <w:rPr>
          <w:rFonts w:ascii="Times New Roman" w:hAnsi="Times New Roman" w:eastAsia="仿宋_GB2312" w:cs="Times New Roman"/>
          <w:kern w:val="0"/>
          <w:sz w:val="30"/>
          <w:szCs w:val="30"/>
          <w:vertAlign w:val="superscript"/>
        </w:rPr>
        <w:t>2</w:t>
      </w:r>
      <w:r>
        <w:rPr>
          <w:rFonts w:ascii="Times New Roman" w:hAnsi="Times New Roman" w:eastAsia="仿宋_GB2312" w:cs="Times New Roman"/>
          <w:kern w:val="0"/>
          <w:sz w:val="30"/>
          <w:szCs w:val="30"/>
          <w:lang w:val="zh-CN" w:bidi="en-US"/>
        </w:rPr>
        <w:t>。</w:t>
      </w:r>
      <w:r>
        <w:rPr>
          <w:rFonts w:ascii="仿宋_GB2312" w:hAnsi="Times New Roman" w:eastAsia="仿宋_GB2312" w:cs="Times New Roman"/>
          <w:kern w:val="0"/>
          <w:sz w:val="30"/>
          <w:szCs w:val="30"/>
          <w:lang w:val="zh-CN" w:bidi="en-US"/>
        </w:rPr>
        <w:t>规划基准年为2021年，规划期限</w:t>
      </w:r>
      <w:r>
        <w:rPr>
          <w:rFonts w:hint="eastAsia" w:ascii="仿宋_GB2312" w:hAnsi="Times New Roman" w:eastAsia="仿宋_GB2312" w:cs="Times New Roman"/>
          <w:kern w:val="0"/>
          <w:sz w:val="30"/>
          <w:szCs w:val="30"/>
          <w:lang w:val="zh-CN" w:bidi="en-US"/>
        </w:rPr>
        <w:t>为</w:t>
      </w:r>
      <w:r>
        <w:rPr>
          <w:rFonts w:ascii="仿宋_GB2312" w:hAnsi="Times New Roman" w:eastAsia="仿宋_GB2312" w:cs="Times New Roman"/>
          <w:kern w:val="0"/>
          <w:sz w:val="30"/>
          <w:szCs w:val="30"/>
          <w:lang w:val="zh-CN" w:bidi="en-US"/>
        </w:rPr>
        <w:t>2022-2030年。</w:t>
      </w:r>
      <w:r>
        <w:rPr>
          <w:rFonts w:ascii="仿宋_GB2312" w:hAnsi="Times New Roman" w:eastAsia="仿宋_GB2312" w:cs="Times New Roman"/>
          <w:kern w:val="0"/>
          <w:sz w:val="30"/>
          <w:szCs w:val="30"/>
        </w:rPr>
        <w:t>《规划》是指导全县生态文明建设工作的基础性和纲领性文件，也是</w:t>
      </w:r>
      <w:r>
        <w:rPr>
          <w:rFonts w:hint="eastAsia" w:ascii="仿宋_GB2312" w:hAnsi="Times New Roman" w:eastAsia="仿宋_GB2312" w:cs="Times New Roman"/>
          <w:kern w:val="0"/>
          <w:sz w:val="30"/>
          <w:szCs w:val="30"/>
        </w:rPr>
        <w:t>洛隆</w:t>
      </w:r>
      <w:r>
        <w:rPr>
          <w:rFonts w:ascii="仿宋_GB2312" w:hAnsi="Times New Roman" w:eastAsia="仿宋_GB2312" w:cs="Times New Roman"/>
          <w:kern w:val="0"/>
          <w:sz w:val="30"/>
          <w:szCs w:val="30"/>
        </w:rPr>
        <w:t>县十四五期间生态文明建设指导性文件。</w:t>
      </w:r>
    </w:p>
    <w:p w14:paraId="58D60CB0">
      <w:pPr>
        <w:spacing w:line="560" w:lineRule="exact"/>
        <w:outlineLvl w:val="0"/>
        <w:rPr>
          <w:rFonts w:ascii="Times New Roman" w:hAnsi="Times New Roman" w:eastAsia="方正小标宋简体" w:cs="Times New Roman"/>
          <w:bCs/>
          <w:sz w:val="30"/>
          <w:szCs w:val="30"/>
        </w:rPr>
        <w:sectPr>
          <w:footerReference r:id="rId6" w:type="default"/>
          <w:pgSz w:w="11906" w:h="16838"/>
          <w:pgMar w:top="1440" w:right="1701" w:bottom="1440" w:left="1758" w:header="851" w:footer="992" w:gutter="0"/>
          <w:pgNumType w:start="1"/>
          <w:cols w:space="425" w:num="1"/>
          <w:docGrid w:type="linesAndChars" w:linePitch="312" w:charSpace="0"/>
        </w:sectPr>
      </w:pPr>
    </w:p>
    <w:p w14:paraId="5C423D6C">
      <w:pPr>
        <w:pageBreakBefore/>
        <w:spacing w:line="580" w:lineRule="exact"/>
        <w:jc w:val="center"/>
        <w:outlineLvl w:val="0"/>
        <w:rPr>
          <w:rFonts w:ascii="方正小标宋简体" w:hAnsi="Times New Roman" w:eastAsia="方正小标宋简体" w:cs="Times New Roman"/>
          <w:sz w:val="36"/>
          <w:szCs w:val="36"/>
        </w:rPr>
      </w:pPr>
      <w:bookmarkStart w:id="6" w:name="_Toc30332"/>
      <w:r>
        <w:rPr>
          <w:rFonts w:ascii="方正小标宋简体" w:hAnsi="Times New Roman" w:eastAsia="方正小标宋简体" w:cs="Times New Roman"/>
          <w:sz w:val="36"/>
          <w:szCs w:val="36"/>
        </w:rPr>
        <w:t>第一章 基础条件与形势分析</w:t>
      </w:r>
      <w:bookmarkEnd w:id="1"/>
      <w:bookmarkEnd w:id="2"/>
      <w:bookmarkEnd w:id="6"/>
    </w:p>
    <w:p w14:paraId="7CF8AED4">
      <w:pPr>
        <w:spacing w:line="580" w:lineRule="exact"/>
        <w:jc w:val="center"/>
        <w:outlineLvl w:val="1"/>
        <w:rPr>
          <w:rFonts w:ascii="Times New Roman" w:hAnsi="Times New Roman" w:eastAsia="黑体" w:cs="Times New Roman"/>
          <w:bCs/>
          <w:sz w:val="32"/>
          <w:szCs w:val="32"/>
        </w:rPr>
      </w:pPr>
      <w:bookmarkStart w:id="7" w:name="_Toc514667615"/>
      <w:bookmarkStart w:id="8" w:name="_Toc14645"/>
      <w:bookmarkStart w:id="9" w:name="_Toc29128"/>
      <w:bookmarkStart w:id="10" w:name="_Toc3696"/>
      <w:bookmarkStart w:id="11" w:name="_Toc528335013"/>
      <w:bookmarkStart w:id="12" w:name="_Toc25191"/>
    </w:p>
    <w:p w14:paraId="743B49F9">
      <w:pPr>
        <w:spacing w:line="580" w:lineRule="exact"/>
        <w:jc w:val="center"/>
        <w:outlineLvl w:val="1"/>
        <w:rPr>
          <w:rFonts w:ascii="Times New Roman" w:hAnsi="Times New Roman" w:eastAsia="黑体" w:cs="Times New Roman"/>
          <w:bCs/>
          <w:sz w:val="32"/>
          <w:szCs w:val="32"/>
        </w:rPr>
      </w:pPr>
      <w:r>
        <w:rPr>
          <w:rFonts w:ascii="Times New Roman" w:hAnsi="Times New Roman" w:eastAsia="黑体" w:cs="Times New Roman"/>
          <w:bCs/>
          <w:sz w:val="32"/>
          <w:szCs w:val="32"/>
        </w:rPr>
        <w:t>第一节</w:t>
      </w:r>
      <w:bookmarkEnd w:id="7"/>
      <w:r>
        <w:rPr>
          <w:rFonts w:ascii="Times New Roman" w:hAnsi="Times New Roman" w:eastAsia="黑体" w:cs="Times New Roman"/>
          <w:bCs/>
          <w:sz w:val="32"/>
          <w:szCs w:val="32"/>
        </w:rPr>
        <w:t xml:space="preserve">  工作基础</w:t>
      </w:r>
      <w:bookmarkEnd w:id="8"/>
      <w:bookmarkEnd w:id="9"/>
      <w:bookmarkEnd w:id="10"/>
      <w:bookmarkEnd w:id="11"/>
    </w:p>
    <w:p w14:paraId="2191CB52">
      <w:pPr>
        <w:spacing w:line="580" w:lineRule="exact"/>
        <w:ind w:firstLine="600" w:firstLineChars="200"/>
        <w:outlineLvl w:val="2"/>
        <w:rPr>
          <w:rFonts w:ascii="Times New Roman" w:hAnsi="Times New Roman" w:eastAsia="楷体_GB2312" w:cs="Times New Roman"/>
          <w:b/>
          <w:bCs/>
          <w:sz w:val="30"/>
          <w:szCs w:val="30"/>
          <w:lang w:val="zh-CN"/>
        </w:rPr>
      </w:pPr>
      <w:r>
        <w:rPr>
          <w:rFonts w:ascii="Times New Roman" w:hAnsi="Times New Roman" w:eastAsia="楷体_GB2312" w:cs="Times New Roman"/>
          <w:b/>
          <w:bCs/>
          <w:sz w:val="30"/>
          <w:szCs w:val="30"/>
        </w:rPr>
        <w:t>（一）</w:t>
      </w:r>
      <w:bookmarkEnd w:id="12"/>
      <w:r>
        <w:rPr>
          <w:rFonts w:hint="eastAsia" w:ascii="Times New Roman" w:hAnsi="Times New Roman" w:eastAsia="楷体_GB2312" w:cs="Times New Roman"/>
          <w:b/>
          <w:bCs/>
          <w:sz w:val="30"/>
          <w:szCs w:val="30"/>
          <w:lang w:val="zh-CN"/>
        </w:rPr>
        <w:t xml:space="preserve">自然资源得天独厚，生态环境本底优良 </w:t>
      </w:r>
    </w:p>
    <w:p w14:paraId="7131D7FC">
      <w:pPr>
        <w:adjustRightInd w:val="0"/>
        <w:snapToGrid w:val="0"/>
        <w:spacing w:line="500" w:lineRule="exact"/>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洛隆县地处我国青藏高原东南部，为典型的高山峡谷地貌，属于藏东横断山脉系、怒江中游流域，念青唐古拉山与他念他翁山平行而过，地势起伏大，沟壑纵横，河流多达100多余条，湖泊多达50余个，江河年径流量200多亿立方米，湖泊储水100亿立方米；水能理论蕴藏量约30万千瓦，已开发利用10390千瓦。县域</w:t>
      </w:r>
      <w:r>
        <w:rPr>
          <w:rFonts w:ascii="Times New Roman" w:hAnsi="Times New Roman" w:eastAsia="仿宋_GB2312" w:cs="Times New Roman"/>
          <w:sz w:val="30"/>
          <w:szCs w:val="30"/>
        </w:rPr>
        <w:t>土地肥沃、气候宜人，</w:t>
      </w:r>
      <w:r>
        <w:rPr>
          <w:rFonts w:hint="eastAsia" w:ascii="Times New Roman" w:hAnsi="Times New Roman" w:eastAsia="仿宋_GB2312" w:cs="Times New Roman"/>
          <w:sz w:val="30"/>
          <w:szCs w:val="30"/>
        </w:rPr>
        <w:t>全县有耕地1</w:t>
      </w:r>
      <w:r>
        <w:rPr>
          <w:rFonts w:ascii="Times New Roman" w:hAnsi="Times New Roman" w:eastAsia="仿宋_GB2312" w:cs="Times New Roman"/>
          <w:sz w:val="30"/>
          <w:szCs w:val="30"/>
        </w:rPr>
        <w:t>8.43</w:t>
      </w:r>
      <w:r>
        <w:rPr>
          <w:rFonts w:hint="eastAsia" w:ascii="Times New Roman" w:hAnsi="Times New Roman" w:eastAsia="仿宋_GB2312" w:cs="Times New Roman"/>
          <w:sz w:val="30"/>
          <w:szCs w:val="30"/>
        </w:rPr>
        <w:t>万亩，农作物播种面积9.532万亩，2021年农作物总产量达到8997.9万斤，素有“藏东粮仓”的美誉。县域内</w:t>
      </w:r>
      <w:r>
        <w:rPr>
          <w:rFonts w:ascii="Times New Roman" w:hAnsi="Times New Roman" w:eastAsia="仿宋_GB2312" w:cs="Times New Roman"/>
          <w:sz w:val="30"/>
          <w:szCs w:val="30"/>
        </w:rPr>
        <w:t>牧区牧业发达，</w:t>
      </w:r>
      <w:r>
        <w:rPr>
          <w:rFonts w:hint="eastAsia" w:ascii="Times New Roman" w:hAnsi="Times New Roman" w:eastAsia="仿宋_GB2312" w:cs="Times New Roman"/>
          <w:sz w:val="30"/>
          <w:szCs w:val="30"/>
        </w:rPr>
        <w:t>总草场面积254183.47公顷，占县域面积的31.34%，核定载畜量为53.49万个绵羊单位；县域内生物多样性丰富，拥有多种国家一、二级保护动物，植物176种；矿产资源丰富，主要发现有铜、铅、铁等10余种金属矿和煤、大理石、芒硝、建筑石材等8种非金属矿，其中以嘉玉桥大理石矿因质纯、色润、硬度高尤为出名，质地能与四川宝兴汉白玉媲美。</w:t>
      </w:r>
    </w:p>
    <w:p w14:paraId="2037DE87">
      <w:pPr>
        <w:adjustRightInd w:val="0"/>
        <w:snapToGrid w:val="0"/>
        <w:spacing w:line="500" w:lineRule="exact"/>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洛隆县</w:t>
      </w:r>
      <w:r>
        <w:rPr>
          <w:rFonts w:ascii="Times New Roman" w:hAnsi="Times New Roman" w:eastAsia="仿宋_GB2312" w:cs="Times New Roman"/>
          <w:sz w:val="30"/>
          <w:szCs w:val="30"/>
        </w:rPr>
        <w:t>地处藏北草原向横断山脉过渡带，原生生态空间保护良好</w:t>
      </w:r>
      <w:r>
        <w:rPr>
          <w:rFonts w:hint="eastAsia" w:ascii="Times New Roman" w:hAnsi="Times New Roman" w:eastAsia="仿宋_GB2312" w:cs="Times New Roman"/>
          <w:sz w:val="30"/>
          <w:szCs w:val="30"/>
        </w:rPr>
        <w:t>，划定生态保护红线1813平方公里，占县域面积22.49%；</w:t>
      </w:r>
      <w:r>
        <w:rPr>
          <w:rFonts w:ascii="Times New Roman" w:hAnsi="Times New Roman" w:eastAsia="仿宋_GB2312" w:cs="Times New Roman"/>
          <w:sz w:val="30"/>
          <w:szCs w:val="30"/>
        </w:rPr>
        <w:t>县域有1个国家级湿地公园“</w:t>
      </w:r>
      <w:r>
        <w:rPr>
          <w:rFonts w:hint="eastAsia" w:ascii="Times New Roman" w:hAnsi="Times New Roman" w:eastAsia="仿宋_GB2312" w:cs="Times New Roman"/>
          <w:sz w:val="30"/>
          <w:szCs w:val="30"/>
        </w:rPr>
        <w:t>西藏洛隆卓玛朗措国家湿地公园</w:t>
      </w:r>
      <w:r>
        <w:rPr>
          <w:rFonts w:ascii="Times New Roman" w:hAnsi="Times New Roman" w:eastAsia="仿宋_GB2312" w:cs="Times New Roman"/>
          <w:sz w:val="30"/>
          <w:szCs w:val="30"/>
        </w:rPr>
        <w:t>”</w:t>
      </w:r>
      <w:r>
        <w:rPr>
          <w:rFonts w:hint="eastAsia" w:ascii="Times New Roman" w:hAnsi="Times New Roman" w:eastAsia="仿宋_GB2312" w:cs="Times New Roman"/>
          <w:sz w:val="30"/>
          <w:szCs w:val="30"/>
        </w:rPr>
        <w:t>和 1个县级自然保护区“巴洞措自然保护区”</w:t>
      </w:r>
      <w:r>
        <w:rPr>
          <w:rFonts w:ascii="Times New Roman" w:hAnsi="Times New Roman" w:eastAsia="仿宋_GB2312" w:cs="Times New Roman"/>
          <w:sz w:val="30"/>
          <w:szCs w:val="30"/>
        </w:rPr>
        <w:t>，</w:t>
      </w:r>
      <w:r>
        <w:rPr>
          <w:rFonts w:hint="eastAsia" w:ascii="Times New Roman" w:hAnsi="Times New Roman" w:eastAsia="仿宋_GB2312" w:cs="Times New Roman"/>
          <w:sz w:val="30"/>
          <w:szCs w:val="30"/>
        </w:rPr>
        <w:t>全县生态环境状况指数（EI）良好，林草覆盖率达92.63%，环境空气优良率达到100%，地表水质量均达到或优于Ⅲ类标准，声环境质量保持一级，土壤环境质量较好；固体废物得到完全无害化处理，电磁辐射水平低于国家标准规定的电磁环境控制限值。</w:t>
      </w:r>
    </w:p>
    <w:p w14:paraId="1A609DD0">
      <w:pPr>
        <w:spacing w:line="580" w:lineRule="exact"/>
        <w:ind w:firstLine="600" w:firstLineChars="200"/>
        <w:outlineLvl w:val="2"/>
        <w:rPr>
          <w:rFonts w:ascii="Times New Roman" w:hAnsi="Times New Roman" w:eastAsia="楷体_GB2312" w:cs="Times New Roman"/>
          <w:b/>
          <w:bCs/>
          <w:sz w:val="30"/>
          <w:szCs w:val="30"/>
          <w:lang w:val="zh-CN"/>
        </w:rPr>
      </w:pPr>
      <w:r>
        <w:rPr>
          <w:rFonts w:ascii="Times New Roman" w:hAnsi="Times New Roman" w:eastAsia="楷体_GB2312" w:cs="Times New Roman"/>
          <w:b/>
          <w:bCs/>
          <w:sz w:val="30"/>
          <w:szCs w:val="30"/>
        </w:rPr>
        <w:t>（二）</w:t>
      </w:r>
      <w:r>
        <w:rPr>
          <w:rFonts w:ascii="Times New Roman" w:hAnsi="Times New Roman" w:eastAsia="楷体_GB2312" w:cs="Times New Roman"/>
          <w:b/>
          <w:bCs/>
          <w:sz w:val="30"/>
          <w:szCs w:val="30"/>
          <w:lang w:val="zh-CN"/>
        </w:rPr>
        <w:t>文化底蕴历史厚重</w:t>
      </w:r>
      <w:r>
        <w:rPr>
          <w:rFonts w:hint="eastAsia" w:ascii="Times New Roman" w:hAnsi="Times New Roman" w:eastAsia="楷体_GB2312" w:cs="Times New Roman"/>
          <w:b/>
          <w:bCs/>
          <w:sz w:val="30"/>
          <w:szCs w:val="30"/>
          <w:lang w:val="zh-CN"/>
        </w:rPr>
        <w:t>，旅游开发潜力无限</w:t>
      </w:r>
    </w:p>
    <w:p w14:paraId="0792F3F5">
      <w:pPr>
        <w:adjustRightInd w:val="0"/>
        <w:snapToGrid w:val="0"/>
        <w:spacing w:line="500" w:lineRule="exact"/>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洛隆县历史悠久，文化底蕴浓厚，属于古卫、藏、康三部之一的康巴藏族，热巴、茶马文化独具特色，是古茶马古道北线的必经城市之一。热巴文化历史悠久，丰富的内容、独特的风格、高超的技巧、风趣的道白和奇特的面具，是藏族古代灿烂文化艺术中的奇葩，具有很高的</w:t>
      </w:r>
      <w:r>
        <w:fldChar w:fldCharType="begin"/>
      </w:r>
      <w:r>
        <w:instrText xml:space="preserve"> HYPERLINK "https://baike.so.com/doc/5736161-5948906.html" \t "https://baike.so.com/doc/_blank" </w:instrText>
      </w:r>
      <w:r>
        <w:fldChar w:fldCharType="separate"/>
      </w:r>
      <w:r>
        <w:rPr>
          <w:rFonts w:hint="eastAsia" w:ascii="Times New Roman" w:hAnsi="Times New Roman" w:eastAsia="仿宋_GB2312" w:cs="Times New Roman"/>
          <w:sz w:val="30"/>
          <w:szCs w:val="30"/>
        </w:rPr>
        <w:t>艺术价值</w:t>
      </w:r>
      <w:r>
        <w:rPr>
          <w:rFonts w:hint="eastAsia" w:ascii="Times New Roman" w:hAnsi="Times New Roman" w:eastAsia="仿宋_GB2312" w:cs="Times New Roman"/>
          <w:sz w:val="30"/>
          <w:szCs w:val="30"/>
        </w:rPr>
        <w:fldChar w:fldCharType="end"/>
      </w:r>
      <w:r>
        <w:rPr>
          <w:rFonts w:hint="eastAsia" w:ascii="Times New Roman" w:hAnsi="Times New Roman" w:eastAsia="仿宋_GB2312" w:cs="Times New Roman"/>
          <w:sz w:val="30"/>
          <w:szCs w:val="30"/>
        </w:rPr>
        <w:t>和研究价值；</w:t>
      </w:r>
      <w:r>
        <w:rPr>
          <w:rFonts w:ascii="Times New Roman" w:hAnsi="Times New Roman" w:eastAsia="仿宋_GB2312" w:cs="Times New Roman"/>
          <w:sz w:val="30"/>
          <w:szCs w:val="30"/>
        </w:rPr>
        <w:t xml:space="preserve">2002年洛隆县被自治区人民政府授予“热巴艺术之乡”称号，洛隆热巴在2007年被列入“国家第一批非物质文化遗产”名录，并在首届非遗节上获得“太阳神鸟金奖”，具有较强烈的地方特色，具有较高的文化价值。 </w:t>
      </w:r>
    </w:p>
    <w:p w14:paraId="2BA5A4BE">
      <w:pPr>
        <w:adjustRightInd w:val="0"/>
        <w:snapToGrid w:val="0"/>
        <w:spacing w:line="500" w:lineRule="exact"/>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洛隆县位于青藏高原东部，县域内发育有巍峨的横断山脉、念青唐古拉山山脉、怒江绵绵水系等自然地理风光，景色秀丽，独具一格；县域内自然景观较为出名的有念青唐古拉山及巴宗峡谷、怒江峡谷、怒江大转弯、背水仙女山、珠姆马鞍山、德尼桑都巴日神山、巴堆神山、尼布宗神山、荣拉坚赞大山、倾多拉山，卓玛朗措湖、巴洞措湖、麻腊措湖、夏嘎措湖，旺西温泉、曲日布谷温泉、学安温泉，俄西田园风光、丁达拉普巴溶洞景观、瓦河梅朵瀑布等；其中以巴宗大峡谷、怒江大转弯、卓玛朗措湖国家湿地公园最为知名且具有较高品位。</w:t>
      </w:r>
    </w:p>
    <w:p w14:paraId="0CADE358">
      <w:pPr>
        <w:adjustRightInd w:val="0"/>
        <w:snapToGrid w:val="0"/>
        <w:spacing w:line="500" w:lineRule="exact"/>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洛隆县悠久的历时，孕育出不同的人文景观，主要有清代汉墓群、硕督古城墙、硕般多宗遗址、硕督十八军宿营地、洛宗遗址、加玉扎嗄汉子沟摩崖石刻、加玉古桥和鲁康遗址、卡萨宗古粮仓遗址、拉荣八相塔殿遗址、秀旺堆大型藏文石刻群、达吉塔林遗址、神槐树、柔旺卡石棺墓、玖玛墓葬群、布登宫石棺墓、烈士陵园、硕督寺、义章寺、朗拉寺、孜托寺、拉卡寺、达吉寺、查根寺等，具有较高的文化价值。</w:t>
      </w:r>
    </w:p>
    <w:p w14:paraId="05F7640A">
      <w:pPr>
        <w:spacing w:line="580" w:lineRule="exact"/>
        <w:ind w:firstLine="600" w:firstLineChars="200"/>
        <w:outlineLvl w:val="2"/>
        <w:rPr>
          <w:rFonts w:ascii="Times New Roman" w:hAnsi="Times New Roman" w:eastAsia="楷体_GB2312" w:cs="Times New Roman"/>
          <w:b/>
          <w:bCs/>
          <w:sz w:val="30"/>
          <w:szCs w:val="30"/>
          <w:lang w:val="zh-CN"/>
        </w:rPr>
      </w:pPr>
      <w:r>
        <w:rPr>
          <w:rFonts w:ascii="Times New Roman" w:hAnsi="Times New Roman" w:eastAsia="楷体_GB2312" w:cs="Times New Roman"/>
          <w:b/>
          <w:bCs/>
          <w:sz w:val="30"/>
          <w:szCs w:val="30"/>
          <w:lang w:val="zh-CN"/>
        </w:rPr>
        <w:t>（三）</w:t>
      </w:r>
      <w:r>
        <w:rPr>
          <w:rFonts w:hint="eastAsia" w:ascii="Times New Roman" w:hAnsi="Times New Roman" w:eastAsia="楷体_GB2312" w:cs="Times New Roman"/>
          <w:b/>
          <w:bCs/>
          <w:sz w:val="30"/>
          <w:szCs w:val="30"/>
          <w:lang w:val="zh-CN"/>
        </w:rPr>
        <w:t>产业结构逐渐优化，经济发展势头未来可期</w:t>
      </w:r>
    </w:p>
    <w:p w14:paraId="7EC58887">
      <w:pPr>
        <w:adjustRightInd w:val="0"/>
        <w:snapToGrid w:val="0"/>
        <w:spacing w:line="500" w:lineRule="exact"/>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 xml:space="preserve">洛隆县深入落实自治区“两屏四地一通道”发展思路、“一核一圈两带三区”发展新格局和昌都建设藏东强市的任务要求。依托自然资源建立清洁能源开发示范基地，合理有序开发水能和太阳能，建设一批光伏电站和水电站、开发温泉利用；依托农业区位定位建设特色精品农产品供给基地，借助“洛宗”糌粑口碑和品牌影响力，提升特色青稞系列，建立糌粑饼干、青稞挂面、糕点、青稞米生产基地；建立温室大棚蔬菜、苗圃种植基地；成立专项产品供销合作社，采取建立公司+合作社+基地+农户的模式完成种植任务；推进特色文化产品，在做优糌粑产品和米汉堡的基础上，大力开展洛宗文化特色产品，林下资源加工包装等形成品牌一体化推进；在藏香刀加工、陶艺技术、绘画加工、根雕技术、民族服饰等融入藏东特色文化和藏汉交融文化，使各类产品富有特色内涵，促进第二产业发展。深入挖掘热巴文化、茶马古道文化、洛宗糌粑文化、藏家民宿文化、农耕文化、自然生态文化、宗教特色文化，保护性开发怒江峡谷、巴宗峡谷、卓玛朗措、巴洞措湖、念青唐古拉山等自然景观，加快以“农家乐、藏家乐”为代表的乡村旅游发展步伐，着力发展富有洛隆特色的探秘游、体验游、观景游、购物游、乡村游、红色文化游、乡村休闲游、山水生态游等，努力打造文化旅游胜地。 </w:t>
      </w:r>
    </w:p>
    <w:p w14:paraId="7B13AC62">
      <w:pPr>
        <w:spacing w:line="580" w:lineRule="exact"/>
        <w:ind w:firstLine="600" w:firstLineChars="200"/>
        <w:outlineLvl w:val="2"/>
        <w:rPr>
          <w:rFonts w:ascii="Times New Roman" w:hAnsi="Times New Roman" w:eastAsia="楷体_GB2312" w:cs="Times New Roman"/>
          <w:b/>
          <w:bCs/>
          <w:sz w:val="30"/>
          <w:szCs w:val="30"/>
          <w:lang w:val="zh-CN"/>
        </w:rPr>
      </w:pPr>
      <w:r>
        <w:rPr>
          <w:rFonts w:ascii="Times New Roman" w:hAnsi="Times New Roman" w:eastAsia="楷体_GB2312" w:cs="Times New Roman"/>
          <w:b/>
          <w:bCs/>
          <w:sz w:val="30"/>
          <w:szCs w:val="30"/>
          <w:lang w:val="zh-CN"/>
        </w:rPr>
        <w:t>（四）</w:t>
      </w:r>
      <w:r>
        <w:rPr>
          <w:rFonts w:hint="eastAsia" w:ascii="Times New Roman" w:hAnsi="Times New Roman" w:eastAsia="楷体_GB2312" w:cs="Times New Roman"/>
          <w:b/>
          <w:bCs/>
          <w:sz w:val="30"/>
          <w:szCs w:val="30"/>
          <w:lang w:val="zh-CN"/>
        </w:rPr>
        <w:t>原生态程度高，后发优势凸显</w:t>
      </w:r>
    </w:p>
    <w:p w14:paraId="3CC929DB">
      <w:pPr>
        <w:adjustRightInd w:val="0"/>
        <w:snapToGrid w:val="0"/>
        <w:spacing w:line="500" w:lineRule="exact"/>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西藏一直以来就有“最后一片净土”的美誉，洛隆县委县政府长期以来十分重视生态环境的保护工作，多年来大力开展植树造林、退牧还草（湿）及草原生态治理，全力开展污染</w:t>
      </w:r>
      <w:r>
        <w:rPr>
          <w:rFonts w:hint="eastAsia" w:ascii="Times New Roman" w:hAnsi="Times New Roman" w:eastAsia="仿宋_GB2312" w:cs="Times New Roman"/>
          <w:sz w:val="30"/>
          <w:szCs w:val="30"/>
          <w:lang w:val="en-US" w:eastAsia="zh-CN"/>
        </w:rPr>
        <w:t>防治</w:t>
      </w:r>
      <w:bookmarkStart w:id="311" w:name="_GoBack"/>
      <w:bookmarkEnd w:id="311"/>
      <w:r>
        <w:rPr>
          <w:rFonts w:hint="eastAsia" w:ascii="Times New Roman" w:hAnsi="Times New Roman" w:eastAsia="仿宋_GB2312" w:cs="Times New Roman"/>
          <w:sz w:val="30"/>
          <w:szCs w:val="30"/>
        </w:rPr>
        <w:t>攻坚战，保持了较好的生态环境，避免了先污染后治理的发展模式。在生态环境成为稀缺资源的发展背景下，洛隆县虽然经济基础差，发展能力有限，经济综合实力薄弱，但优越的原生态环境能成为洛隆县发展的后发优势。由于先期污染少，原生态程度高，在生态文明城市建设过程中对生态治理消耗的资金投入少，经济压力小，更有利于生态环境的建设，后发优势凸显。随着昌都市对市域内规划定位的完善，洛隆县产业结构的调整，交通、电力等条件的改善，加强生态环境的保护工作，洛隆县的后发优势会逐步凸显，生态文明建设必将成为洛隆经济崛起的重要引擎。</w:t>
      </w:r>
    </w:p>
    <w:p w14:paraId="0C5792F3">
      <w:pPr>
        <w:spacing w:line="580" w:lineRule="exact"/>
        <w:ind w:firstLine="600" w:firstLineChars="200"/>
        <w:outlineLvl w:val="2"/>
        <w:rPr>
          <w:rFonts w:ascii="Times New Roman" w:hAnsi="Times New Roman" w:eastAsia="楷体_GB2312" w:cs="Times New Roman"/>
          <w:b/>
          <w:bCs/>
          <w:sz w:val="30"/>
          <w:szCs w:val="30"/>
        </w:rPr>
      </w:pPr>
      <w:r>
        <w:rPr>
          <w:rFonts w:hint="eastAsia" w:ascii="Times New Roman" w:hAnsi="Times New Roman" w:eastAsia="楷体_GB2312" w:cs="Times New Roman"/>
          <w:b/>
          <w:bCs/>
          <w:sz w:val="30"/>
          <w:szCs w:val="30"/>
          <w:lang w:val="zh-CN"/>
        </w:rPr>
        <w:t>（五）</w:t>
      </w:r>
      <w:r>
        <w:rPr>
          <w:rFonts w:hint="eastAsia" w:ascii="Times New Roman" w:hAnsi="Times New Roman" w:eastAsia="楷体_GB2312" w:cs="Times New Roman"/>
          <w:b/>
          <w:bCs/>
          <w:sz w:val="30"/>
          <w:szCs w:val="30"/>
        </w:rPr>
        <w:t>全县齐动员</w:t>
      </w:r>
      <w:r>
        <w:rPr>
          <w:rFonts w:hint="eastAsia" w:ascii="Times New Roman" w:hAnsi="Times New Roman" w:eastAsia="楷体_GB2312" w:cs="Times New Roman"/>
          <w:b/>
          <w:bCs/>
          <w:sz w:val="30"/>
          <w:szCs w:val="30"/>
          <w:lang w:val="zh-CN"/>
        </w:rPr>
        <w:t>，</w:t>
      </w:r>
      <w:r>
        <w:rPr>
          <w:rFonts w:hint="eastAsia" w:ascii="Times New Roman" w:hAnsi="Times New Roman" w:eastAsia="楷体_GB2312" w:cs="Times New Roman"/>
          <w:b/>
          <w:bCs/>
          <w:sz w:val="30"/>
          <w:szCs w:val="30"/>
        </w:rPr>
        <w:t>示范创建基础较好</w:t>
      </w:r>
    </w:p>
    <w:p w14:paraId="16AD2655">
      <w:pPr>
        <w:adjustRightInd w:val="0"/>
        <w:snapToGrid w:val="0"/>
        <w:spacing w:line="500" w:lineRule="exact"/>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洛隆县委、县政府始终牢固树立“绿水青山、冰天雪地就是金山银山”的理念，积极推动生态文明建设，始终坚持“创新、协调、绿色、开放、共享”的发展，正确处理发展和生态之间的关系，把生态文明建设放在更加突出的位置，努力建设“山青水净坡绿天蓝”新洛隆及怒江流域重要生态保护地。</w:t>
      </w:r>
    </w:p>
    <w:p w14:paraId="38E7647D">
      <w:pPr>
        <w:adjustRightInd w:val="0"/>
        <w:snapToGrid w:val="0"/>
        <w:spacing w:line="500" w:lineRule="exact"/>
        <w:ind w:firstLine="600" w:firstLineChars="200"/>
        <w:rPr>
          <w:rFonts w:ascii="Times New Roman" w:hAnsi="Times New Roman" w:eastAsia="仿宋" w:cs="Times New Roman"/>
          <w:sz w:val="28"/>
          <w:szCs w:val="28"/>
        </w:rPr>
      </w:pPr>
      <w:r>
        <w:rPr>
          <w:rFonts w:hint="eastAsia" w:ascii="Times New Roman" w:hAnsi="Times New Roman" w:eastAsia="仿宋_GB2312" w:cs="Times New Roman"/>
          <w:sz w:val="30"/>
          <w:szCs w:val="30"/>
        </w:rPr>
        <w:t>近年来洛隆县把经济社会发展同生态文明建设相结合，以创建国家生态文明建设示范县工作为引领，围绕“美丽新洛隆”建设目标，确保各乡镇、各部门协调联动，积极投入人力、物力、财力开展生态文明综合整治。通过</w:t>
      </w:r>
      <w:r>
        <w:rPr>
          <w:rFonts w:ascii="Times New Roman" w:hAnsi="Times New Roman" w:eastAsia="仿宋_GB2312" w:cs="Times New Roman"/>
          <w:sz w:val="30"/>
          <w:szCs w:val="30"/>
        </w:rPr>
        <w:t>加大环保领域财政投入，加快大气污染治理、城镇生活垃圾治理、城镇生活污水治理以及乡镇集中式饮用水源地规范化建设，</w:t>
      </w:r>
      <w:r>
        <w:rPr>
          <w:rFonts w:hint="eastAsia" w:ascii="Times New Roman" w:hAnsi="Times New Roman" w:eastAsia="仿宋_GB2312" w:cs="Times New Roman"/>
          <w:sz w:val="30"/>
          <w:szCs w:val="30"/>
        </w:rPr>
        <w:t>使县域</w:t>
      </w:r>
      <w:r>
        <w:rPr>
          <w:rFonts w:ascii="Times New Roman" w:hAnsi="Times New Roman" w:eastAsia="仿宋_GB2312" w:cs="Times New Roman"/>
          <w:sz w:val="30"/>
          <w:szCs w:val="30"/>
        </w:rPr>
        <w:t>环境质量居全市前列；出台</w:t>
      </w:r>
      <w:r>
        <w:rPr>
          <w:rFonts w:hint="eastAsia" w:ascii="Times New Roman" w:hAnsi="Times New Roman" w:eastAsia="仿宋_GB2312" w:cs="Times New Roman"/>
          <w:sz w:val="30"/>
          <w:szCs w:val="30"/>
        </w:rPr>
        <w:t>并严格实施</w:t>
      </w:r>
      <w:r>
        <w:rPr>
          <w:rFonts w:ascii="Times New Roman" w:hAnsi="Times New Roman" w:eastAsia="仿宋_GB2312" w:cs="Times New Roman"/>
          <w:sz w:val="30"/>
          <w:szCs w:val="30"/>
        </w:rPr>
        <w:t>《</w:t>
      </w:r>
      <w:r>
        <w:rPr>
          <w:rFonts w:hint="eastAsia" w:ascii="Times New Roman" w:hAnsi="Times New Roman" w:eastAsia="仿宋_GB2312" w:cs="Times New Roman"/>
          <w:sz w:val="30"/>
          <w:szCs w:val="30"/>
        </w:rPr>
        <w:t>洛隆</w:t>
      </w:r>
      <w:r>
        <w:rPr>
          <w:rFonts w:ascii="Times New Roman" w:hAnsi="Times New Roman" w:eastAsia="仿宋_GB2312" w:cs="Times New Roman"/>
          <w:sz w:val="30"/>
          <w:szCs w:val="30"/>
        </w:rPr>
        <w:t>县农村人居环境整治三年行动实施方案》，加快农业废弃物综合利用、畜禽粪便综合利用、无害化卫生厕所普及等农村人居环境改善</w:t>
      </w:r>
      <w:r>
        <w:rPr>
          <w:rFonts w:hint="eastAsia" w:ascii="Times New Roman" w:hAnsi="Times New Roman" w:eastAsia="仿宋_GB2312" w:cs="Times New Roman"/>
          <w:sz w:val="30"/>
          <w:szCs w:val="30"/>
        </w:rPr>
        <w:t>；持续开展生态文明宣传教育活动,大力营造全社会齐动员、共参与着力创建生态文明示范创建的浓厚氛围。洛隆县已成功创建完成</w:t>
      </w:r>
      <w:r>
        <w:rPr>
          <w:rFonts w:ascii="Times New Roman" w:hAnsi="Times New Roman" w:eastAsia="仿宋_GB2312" w:cs="Times New Roman"/>
          <w:sz w:val="30"/>
          <w:szCs w:val="30"/>
        </w:rPr>
        <w:t>2</w:t>
      </w:r>
      <w:r>
        <w:rPr>
          <w:rFonts w:hint="eastAsia" w:ascii="Times New Roman" w:hAnsi="Times New Roman" w:eastAsia="仿宋_GB2312" w:cs="Times New Roman"/>
          <w:sz w:val="30"/>
          <w:szCs w:val="30"/>
        </w:rPr>
        <w:t>个自治区生态文明建设示范村，剩余示范村、示范乡（镇）的创建工作正在积极推进当中</w:t>
      </w:r>
      <w:r>
        <w:rPr>
          <w:rFonts w:hint="eastAsia" w:ascii="Times New Roman" w:hAnsi="Times New Roman" w:eastAsia="仿宋_GB2312" w:cs="Times New Roman"/>
          <w:sz w:val="30"/>
          <w:szCs w:val="30"/>
          <w:lang w:val="zh-CN"/>
        </w:rPr>
        <w:t>，</w:t>
      </w:r>
      <w:r>
        <w:rPr>
          <w:rFonts w:hint="eastAsia" w:ascii="Times New Roman" w:hAnsi="Times New Roman" w:eastAsia="仿宋_GB2312" w:cs="Times New Roman"/>
          <w:sz w:val="30"/>
          <w:szCs w:val="30"/>
        </w:rPr>
        <w:t>全县示范创建基础较好。</w:t>
      </w:r>
    </w:p>
    <w:p w14:paraId="2006D685">
      <w:pPr>
        <w:spacing w:line="580" w:lineRule="exact"/>
        <w:jc w:val="center"/>
        <w:outlineLvl w:val="1"/>
        <w:rPr>
          <w:rFonts w:ascii="Times New Roman" w:hAnsi="Times New Roman" w:eastAsia="黑体" w:cs="Times New Roman"/>
          <w:bCs/>
          <w:sz w:val="32"/>
          <w:szCs w:val="32"/>
        </w:rPr>
      </w:pPr>
      <w:bookmarkStart w:id="13" w:name="_Toc528335014"/>
      <w:bookmarkStart w:id="14" w:name="_Toc522718928"/>
      <w:bookmarkStart w:id="15" w:name="_Toc16177"/>
      <w:bookmarkStart w:id="16" w:name="_Toc524444960"/>
      <w:bookmarkStart w:id="17" w:name="_Toc28770"/>
      <w:bookmarkStart w:id="18" w:name="_Toc26410"/>
      <w:bookmarkStart w:id="19" w:name="_Toc29361"/>
      <w:r>
        <w:rPr>
          <w:rFonts w:ascii="Times New Roman" w:hAnsi="Times New Roman" w:eastAsia="黑体" w:cs="Times New Roman"/>
          <w:bCs/>
          <w:sz w:val="32"/>
          <w:szCs w:val="32"/>
        </w:rPr>
        <w:t xml:space="preserve">第二节  </w:t>
      </w:r>
      <w:bookmarkEnd w:id="13"/>
      <w:bookmarkEnd w:id="14"/>
      <w:bookmarkEnd w:id="15"/>
      <w:bookmarkEnd w:id="16"/>
      <w:r>
        <w:rPr>
          <w:rFonts w:ascii="Times New Roman" w:hAnsi="Times New Roman" w:eastAsia="黑体" w:cs="Times New Roman"/>
          <w:bCs/>
          <w:sz w:val="32"/>
          <w:szCs w:val="32"/>
        </w:rPr>
        <w:t>制约因素</w:t>
      </w:r>
      <w:bookmarkEnd w:id="17"/>
      <w:bookmarkEnd w:id="18"/>
      <w:bookmarkEnd w:id="19"/>
    </w:p>
    <w:p w14:paraId="41606E41">
      <w:pPr>
        <w:spacing w:line="580" w:lineRule="exact"/>
        <w:ind w:firstLine="600" w:firstLineChars="200"/>
        <w:outlineLvl w:val="2"/>
        <w:rPr>
          <w:rFonts w:ascii="Times New Roman" w:hAnsi="Times New Roman" w:eastAsia="楷体_GB2312" w:cs="Times New Roman"/>
          <w:b/>
          <w:bCs/>
          <w:sz w:val="30"/>
          <w:szCs w:val="30"/>
          <w:lang w:val="zh-CN"/>
        </w:rPr>
      </w:pPr>
      <w:r>
        <w:rPr>
          <w:rFonts w:ascii="Times New Roman" w:hAnsi="Times New Roman" w:eastAsia="楷体_GB2312" w:cs="Times New Roman"/>
          <w:b/>
          <w:bCs/>
          <w:sz w:val="30"/>
          <w:szCs w:val="30"/>
        </w:rPr>
        <w:t>（一）</w:t>
      </w:r>
      <w:r>
        <w:rPr>
          <w:rFonts w:ascii="Times New Roman" w:hAnsi="Times New Roman" w:eastAsia="楷体_GB2312" w:cs="Times New Roman"/>
          <w:b/>
          <w:bCs/>
          <w:sz w:val="30"/>
          <w:szCs w:val="30"/>
          <w:lang w:val="zh-CN"/>
        </w:rPr>
        <w:t>经济总量不大，发展层级不高</w:t>
      </w:r>
    </w:p>
    <w:p w14:paraId="2B728776">
      <w:pPr>
        <w:adjustRightInd w:val="0"/>
        <w:snapToGrid w:val="0"/>
        <w:spacing w:line="500" w:lineRule="exact"/>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受基础条件的限制，洛隆县经济总量规模小，发展层次低，基础薄弱，现代农业、绿色矿业、旅游业尚处于起步阶段，缺乏支柱产业和龙头企业，基础建设、投资以及财税收入过度依赖中央资金、对口援藏资金；全县产业发展层次低，第一产业在国民经济中占比较大，第二产业基础薄弱，发展水平低，发展难度大，第三产业发展缓慢；产业链建立不完善，支柱产业和优势产业缺乏规模和宣传，对国家投资的依赖性很强；产业升级困难多，多元产业支撑体系尚未形成；城乡发展差距较大，城镇化水平较低，迫切需要改善乡村发展环境和发展条件。</w:t>
      </w:r>
    </w:p>
    <w:p w14:paraId="63C37728">
      <w:pPr>
        <w:adjustRightInd w:val="0"/>
        <w:snapToGrid w:val="0"/>
        <w:spacing w:line="500" w:lineRule="exact"/>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农业发展处于较初级阶段，机械化程度不高，缺乏科技支撑，抵御自然灾害能力弱；畜牧业作为一产的主要收入，受当地自然条件的限制，产品难以走出去，生产经营模式缺乏科学引导，产业链不完善，决定了经济发展受限；种植业起步晚，土地贫瘠，产量低，运输困难，基本自产自销。</w:t>
      </w:r>
    </w:p>
    <w:p w14:paraId="5CBF29B3">
      <w:pPr>
        <w:adjustRightInd w:val="0"/>
        <w:snapToGrid w:val="0"/>
        <w:spacing w:line="500" w:lineRule="exact"/>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第二产业受自然环境的影响，基础薄弱，发展水平低且单一，发展难度大，不稳定程度高；洛隆县主要的第二产业为砂石矿采场、水电站、光伏电站、民族特色食品、服装加工、建筑业等，企业规模偏小，工业集中化程度低，没有形成规模性的产业集中地。</w:t>
      </w:r>
    </w:p>
    <w:p w14:paraId="2CAF8EA5">
      <w:pPr>
        <w:adjustRightInd w:val="0"/>
        <w:snapToGrid w:val="0"/>
        <w:spacing w:line="500" w:lineRule="exact"/>
        <w:ind w:firstLine="600" w:firstLineChars="200"/>
        <w:rPr>
          <w:rFonts w:ascii="Times New Roman" w:hAnsi="Times New Roman" w:eastAsia="仿宋_GB2312" w:cs="Times New Roman"/>
          <w:sz w:val="30"/>
          <w:szCs w:val="30"/>
          <w:lang w:val="zh-CN"/>
        </w:rPr>
      </w:pPr>
      <w:r>
        <w:rPr>
          <w:rFonts w:hint="eastAsia" w:ascii="Times New Roman" w:hAnsi="Times New Roman" w:eastAsia="仿宋_GB2312" w:cs="Times New Roman"/>
          <w:sz w:val="30"/>
          <w:szCs w:val="30"/>
        </w:rPr>
        <w:t>第三产业主要依靠政府推动发展，整体发展缓慢；受经济条件的限制，第三产业的开发时间较晚，发展不完善；自然景观、景区的开发、文化价值的挖掘深度不够，基础设施建设不完善，宣传力度不够，旅游附加产业结构层次偏低，传统商品占比过大，旅客消费不足</w:t>
      </w:r>
      <w:r>
        <w:rPr>
          <w:rFonts w:ascii="Times New Roman" w:hAnsi="Times New Roman" w:eastAsia="仿宋_GB2312" w:cs="Times New Roman"/>
          <w:sz w:val="30"/>
          <w:szCs w:val="30"/>
        </w:rPr>
        <w:t>。</w:t>
      </w:r>
    </w:p>
    <w:p w14:paraId="660028E1">
      <w:pPr>
        <w:spacing w:line="580" w:lineRule="exact"/>
        <w:ind w:firstLine="600" w:firstLineChars="200"/>
        <w:outlineLvl w:val="2"/>
        <w:rPr>
          <w:rFonts w:ascii="Times New Roman" w:hAnsi="Times New Roman" w:eastAsia="楷体_GB2312" w:cs="Times New Roman"/>
          <w:b/>
          <w:bCs/>
          <w:sz w:val="30"/>
          <w:szCs w:val="30"/>
          <w:lang w:val="zh-CN"/>
        </w:rPr>
      </w:pPr>
      <w:r>
        <w:rPr>
          <w:rFonts w:ascii="Times New Roman" w:hAnsi="Times New Roman" w:eastAsia="楷体_GB2312" w:cs="Times New Roman"/>
          <w:b/>
          <w:bCs/>
          <w:sz w:val="30"/>
          <w:szCs w:val="30"/>
        </w:rPr>
        <w:t>（二）</w:t>
      </w:r>
      <w:r>
        <w:rPr>
          <w:rFonts w:hint="eastAsia" w:ascii="Times New Roman" w:hAnsi="Times New Roman" w:eastAsia="楷体_GB2312" w:cs="Times New Roman"/>
          <w:b/>
          <w:bCs/>
          <w:sz w:val="30"/>
          <w:szCs w:val="30"/>
          <w:lang w:val="zh-CN"/>
        </w:rPr>
        <w:t>生态系统脆弱，修复治理难度大</w:t>
      </w:r>
    </w:p>
    <w:p w14:paraId="2F2D30E2">
      <w:pPr>
        <w:adjustRightInd w:val="0"/>
        <w:snapToGrid w:val="0"/>
        <w:spacing w:line="500" w:lineRule="exact"/>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洛隆县地处怒江流域上游，是我国重要的生物多样性保护、水源涵养以及水土保持地，生态功能重要、生态效应敏感，是三江流域生态安全屏障的重要组成部分。洛隆地理位置特殊，地质结构不稳定，境内地震、泥石流、崩塌、滑坡、冻胀融沉等地质灾害频发；海拔偏高，高寒缺氧，降水集中，土地贫瘠，水土流失风险整体偏高；植被变化情况总体向好，但腊久乡等部分区域存在恶化趋势。总体来说，洛隆县</w:t>
      </w:r>
      <w:r>
        <w:rPr>
          <w:rFonts w:hint="eastAsia" w:ascii="Times New Roman" w:hAnsi="Times New Roman" w:eastAsia="仿宋_GB2312" w:cs="Times New Roman"/>
          <w:sz w:val="30"/>
          <w:szCs w:val="30"/>
          <w:lang w:val="zh-CN"/>
        </w:rPr>
        <w:t>生态系统脆弱</w:t>
      </w:r>
      <w:r>
        <w:rPr>
          <w:rFonts w:hint="eastAsia" w:ascii="Times New Roman" w:hAnsi="Times New Roman" w:eastAsia="仿宋_GB2312" w:cs="Times New Roman"/>
          <w:sz w:val="30"/>
          <w:szCs w:val="30"/>
        </w:rPr>
        <w:t>，一旦发生自然灾害，恢复治理难度极大，对社会经济和生态文明建设有一定制约。</w:t>
      </w:r>
    </w:p>
    <w:p w14:paraId="73B90C37">
      <w:pPr>
        <w:spacing w:line="580" w:lineRule="exact"/>
        <w:ind w:firstLine="600" w:firstLineChars="200"/>
        <w:outlineLvl w:val="2"/>
        <w:rPr>
          <w:rFonts w:ascii="Times New Roman" w:hAnsi="Times New Roman" w:eastAsia="楷体_GB2312" w:cs="Times New Roman"/>
          <w:b/>
          <w:bCs/>
          <w:sz w:val="30"/>
          <w:szCs w:val="30"/>
        </w:rPr>
      </w:pPr>
      <w:bookmarkStart w:id="20" w:name="_Toc604"/>
      <w:r>
        <w:rPr>
          <w:rFonts w:ascii="Times New Roman" w:hAnsi="Times New Roman" w:eastAsia="楷体_GB2312" w:cs="Times New Roman"/>
          <w:b/>
          <w:bCs/>
          <w:sz w:val="30"/>
          <w:szCs w:val="30"/>
        </w:rPr>
        <w:t>（三）</w:t>
      </w:r>
      <w:bookmarkEnd w:id="20"/>
      <w:r>
        <w:rPr>
          <w:rFonts w:ascii="Times New Roman" w:hAnsi="Times New Roman" w:eastAsia="楷体_GB2312" w:cs="Times New Roman"/>
          <w:b/>
          <w:bCs/>
          <w:sz w:val="30"/>
          <w:szCs w:val="30"/>
          <w:lang w:val="zh-CN"/>
        </w:rPr>
        <w:t>基础设施存在短板</w:t>
      </w:r>
      <w:r>
        <w:rPr>
          <w:rFonts w:hint="eastAsia" w:ascii="Times New Roman" w:hAnsi="Times New Roman" w:eastAsia="楷体_GB2312" w:cs="Times New Roman"/>
          <w:b/>
          <w:bCs/>
          <w:sz w:val="30"/>
          <w:szCs w:val="30"/>
          <w:lang w:val="zh-CN"/>
        </w:rPr>
        <w:t>，</w:t>
      </w:r>
      <w:r>
        <w:rPr>
          <w:rFonts w:hint="eastAsia" w:ascii="Times New Roman" w:hAnsi="Times New Roman" w:eastAsia="楷体_GB2312" w:cs="Times New Roman"/>
          <w:b/>
          <w:bCs/>
          <w:sz w:val="30"/>
          <w:szCs w:val="30"/>
        </w:rPr>
        <w:t>制约生态文明建设</w:t>
      </w:r>
    </w:p>
    <w:p w14:paraId="1D168A13">
      <w:pPr>
        <w:adjustRightInd w:val="0"/>
        <w:snapToGrid w:val="0"/>
        <w:spacing w:line="500" w:lineRule="exact"/>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洛隆</w:t>
      </w:r>
      <w:r>
        <w:rPr>
          <w:rFonts w:ascii="Times New Roman" w:hAnsi="Times New Roman" w:eastAsia="仿宋_GB2312" w:cs="Times New Roman"/>
          <w:sz w:val="30"/>
          <w:szCs w:val="30"/>
        </w:rPr>
        <w:t>县交通区位条件一般，交通基础设施较落后，交通运输仍然不能适应国民经济和社会快速发展的需要，交通矛盾较突出。</w:t>
      </w:r>
      <w:r>
        <w:rPr>
          <w:rFonts w:hint="eastAsia" w:ascii="Times New Roman" w:hAnsi="Times New Roman" w:eastAsia="仿宋_GB2312" w:cs="Times New Roman"/>
          <w:sz w:val="30"/>
          <w:szCs w:val="30"/>
        </w:rPr>
        <w:t>目前对外交通仅仅依靠国道349，对外连接通道严重不足，洛隆至丁青、洛隆至类乌齐等重要断头路未打通，缺乏高速公路、铁路、航空等便捷交通方式的支撑，对群众出行、旅游景区开发、经济社会发展产生了制约；内部交通方面，33</w:t>
      </w:r>
      <w:r>
        <w:rPr>
          <w:rFonts w:ascii="Times New Roman" w:hAnsi="Times New Roman" w:eastAsia="仿宋_GB2312" w:cs="Times New Roman"/>
          <w:sz w:val="30"/>
          <w:szCs w:val="30"/>
        </w:rPr>
        <w:t>4</w:t>
      </w:r>
      <w:r>
        <w:rPr>
          <w:rFonts w:hint="eastAsia" w:ascii="Times New Roman" w:hAnsi="Times New Roman" w:eastAsia="仿宋_GB2312" w:cs="Times New Roman"/>
          <w:sz w:val="30"/>
          <w:szCs w:val="30"/>
        </w:rPr>
        <w:t>个自然村公路通达率为69.3%，群众存在出行险、出行难的问题，且当地村因交通因素致使群众生活、生产受到一定的影响；公路密度仅为全国平均水平的四分之一。</w:t>
      </w:r>
    </w:p>
    <w:p w14:paraId="04BBCA8E">
      <w:pPr>
        <w:adjustRightInd w:val="0"/>
        <w:snapToGrid w:val="0"/>
        <w:spacing w:line="500" w:lineRule="exact"/>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全县供水、供电、通讯等设施亦存在“最后一公里”不畅通问题。农村部分变电设施是农网时期建设，供电质量和负荷无法满足经济社会发展实际需要，部分供电设施老化，年久失修；全县多区域通信网络信号较差；教育、医疗卫生、交通、就业保障、文化、市政等各方面的公共服务供给还不够充分，离群众的需求还有差距。</w:t>
      </w:r>
    </w:p>
    <w:p w14:paraId="33566049">
      <w:pPr>
        <w:adjustRightInd w:val="0"/>
        <w:snapToGrid w:val="0"/>
        <w:spacing w:line="500" w:lineRule="exact"/>
        <w:ind w:firstLine="600" w:firstLineChars="200"/>
        <w:rPr>
          <w:rFonts w:ascii="Times New Roman" w:hAnsi="Times New Roman" w:eastAsia="仿宋_GB2312" w:cs="Times New Roman"/>
          <w:sz w:val="30"/>
          <w:szCs w:val="30"/>
          <w:lang w:val="zh-CN"/>
        </w:rPr>
      </w:pPr>
      <w:r>
        <w:rPr>
          <w:rFonts w:hint="eastAsia" w:ascii="Times New Roman" w:hAnsi="Times New Roman" w:eastAsia="仿宋_GB2312" w:cs="Times New Roman"/>
          <w:sz w:val="30"/>
          <w:szCs w:val="30"/>
        </w:rPr>
        <w:t>全县城镇化进程缓慢，城镇化严重不足。20</w:t>
      </w:r>
      <w:r>
        <w:rPr>
          <w:rFonts w:ascii="Times New Roman" w:hAnsi="Times New Roman" w:eastAsia="仿宋_GB2312" w:cs="Times New Roman"/>
          <w:sz w:val="30"/>
          <w:szCs w:val="30"/>
        </w:rPr>
        <w:t>21</w:t>
      </w:r>
      <w:r>
        <w:rPr>
          <w:rFonts w:hint="eastAsia" w:ascii="Times New Roman" w:hAnsi="Times New Roman" w:eastAsia="仿宋_GB2312" w:cs="Times New Roman"/>
          <w:sz w:val="30"/>
          <w:szCs w:val="30"/>
        </w:rPr>
        <w:t>年，洛隆县城镇化率达到</w:t>
      </w:r>
      <w:r>
        <w:rPr>
          <w:rFonts w:ascii="Times New Roman" w:hAnsi="Times New Roman" w:eastAsia="仿宋_GB2312" w:cs="Times New Roman"/>
          <w:sz w:val="30"/>
          <w:szCs w:val="30"/>
        </w:rPr>
        <w:t>8.5</w:t>
      </w:r>
      <w:r>
        <w:rPr>
          <w:rFonts w:hint="eastAsia" w:ascii="Times New Roman" w:hAnsi="Times New Roman" w:eastAsia="仿宋_GB2312" w:cs="Times New Roman"/>
          <w:sz w:val="30"/>
          <w:szCs w:val="30"/>
        </w:rPr>
        <w:t>%，在与昌都市各县横向对比中，洛隆县城镇化率在全市较低，洛隆县需找到新的城镇增长动力。同时，城乡发展也不平衡，农牧区基本公共服务水平不高，教育、医疗、文化、社会保障、就业等领域工作在达到“两不愁三保障”的基础上，亟需对标各族群众日益增长的美好生活需要，提升供给质量</w:t>
      </w:r>
      <w:r>
        <w:rPr>
          <w:rFonts w:ascii="Times New Roman" w:hAnsi="Times New Roman" w:eastAsia="仿宋_GB2312" w:cs="Times New Roman"/>
          <w:sz w:val="30"/>
          <w:szCs w:val="30"/>
        </w:rPr>
        <w:t>。</w:t>
      </w:r>
      <w:bookmarkStart w:id="21" w:name="_Toc27424"/>
    </w:p>
    <w:p w14:paraId="13B89AED">
      <w:pPr>
        <w:adjustRightInd w:val="0"/>
        <w:snapToGrid w:val="0"/>
        <w:spacing w:line="500" w:lineRule="exact"/>
        <w:ind w:firstLine="600" w:firstLineChars="200"/>
        <w:rPr>
          <w:rFonts w:ascii="Times New Roman" w:hAnsi="Times New Roman" w:eastAsia="仿宋_GB2312" w:cs="Times New Roman"/>
          <w:sz w:val="30"/>
          <w:szCs w:val="30"/>
          <w:lang w:val="zh-CN"/>
        </w:rPr>
      </w:pPr>
    </w:p>
    <w:p w14:paraId="2C1C37BD">
      <w:pPr>
        <w:spacing w:line="580" w:lineRule="exact"/>
        <w:ind w:firstLine="600" w:firstLineChars="200"/>
        <w:outlineLvl w:val="2"/>
        <w:rPr>
          <w:rFonts w:ascii="Times New Roman" w:hAnsi="Times New Roman" w:eastAsia="楷体_GB2312" w:cs="Times New Roman"/>
          <w:b/>
          <w:bCs/>
          <w:sz w:val="30"/>
          <w:szCs w:val="30"/>
        </w:rPr>
      </w:pPr>
      <w:r>
        <w:rPr>
          <w:rFonts w:ascii="Times New Roman" w:hAnsi="Times New Roman" w:eastAsia="楷体_GB2312" w:cs="Times New Roman"/>
          <w:b/>
          <w:bCs/>
          <w:sz w:val="30"/>
          <w:szCs w:val="30"/>
        </w:rPr>
        <w:t>（四）</w:t>
      </w:r>
      <w:r>
        <w:rPr>
          <w:rFonts w:hint="eastAsia" w:ascii="Times New Roman" w:hAnsi="Times New Roman" w:eastAsia="楷体_GB2312" w:cs="Times New Roman"/>
          <w:b/>
          <w:bCs/>
          <w:sz w:val="30"/>
          <w:szCs w:val="30"/>
        </w:rPr>
        <w:t>生态环境保护</w:t>
      </w:r>
      <w:r>
        <w:rPr>
          <w:rFonts w:hint="eastAsia" w:ascii="Times New Roman" w:hAnsi="Times New Roman" w:eastAsia="楷体_GB2312" w:cs="Times New Roman"/>
          <w:b/>
          <w:bCs/>
          <w:sz w:val="30"/>
          <w:szCs w:val="30"/>
          <w:lang w:val="zh-CN"/>
        </w:rPr>
        <w:t>能力薄弱，对生态文明建设支撑不足</w:t>
      </w:r>
    </w:p>
    <w:p w14:paraId="519305A1">
      <w:pPr>
        <w:adjustRightInd w:val="0"/>
        <w:snapToGrid w:val="0"/>
        <w:spacing w:line="500" w:lineRule="exact"/>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环保基础设施建设保障不足。环境基础设施建设缓慢，乡镇污水、生活垃圾处理等存在问题，各种工程建设和排污企业隐患问题依然存在，道路建设、砂石采挖、建筑施工等造成的生态修复问题尚未及时解决；城市建设过程未设计收集初期雨水措施，城市污水处理厂采用的处理工艺达不到高标准水质要求，城市垃圾填埋场建设不规范，在垃圾的处理过程中操作不规范，台账不完整，城市垃圾分类设施投放点位少，在乡镇雨污分流不到位，直排现象仍然存在；在农村农牧民生活污水处理问题基本未解决，缺乏固体废物、生活垃圾、危险废物等处理场所；饮用水水源地、分散式饮用水水源地未进行标准化建设和管理，存在一定的风险；城市规划和建设参差不齐，城市面貌和环境品质受到一定的影响。</w:t>
      </w:r>
    </w:p>
    <w:p w14:paraId="20AB6574">
      <w:pPr>
        <w:adjustRightInd w:val="0"/>
        <w:snapToGrid w:val="0"/>
        <w:spacing w:line="500" w:lineRule="exact"/>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缺乏技术人员，监测、监管能力有限。洛隆县地域宽广，生态保护工作战线长，缺乏相关技术人员，环境执法监管力量薄弱，执法监管难度大，人员配置对工作开展形成了阻力。工作人员在工作中往往是多头兼顾，执法覆盖面、密度、时效、力度均跟不上环境保护发展的要求；生态环境监测和监管工作任务重，监测和监管力度不足。采用的监测技术手段相对落后，监管的频次要求不达标，技术人员不足监管能力层次较差，采用的监测基础设备落后，这些方面严重制约了政府部门对生态环境的保护和执法力度，可能导致数据不准确，以至于未能及时发现问题；现有技术人员和监管人员平时培养力度不强，技术人员技术相对缺乏，监管人员对工作程序、内容不熟练以及经验不足，缺乏系统性的培训和学习；生态环境保护机构建设相对较晚，机构的建设有待完善。</w:t>
      </w:r>
    </w:p>
    <w:bookmarkEnd w:id="21"/>
    <w:p w14:paraId="6A5FCB69">
      <w:pPr>
        <w:spacing w:line="580" w:lineRule="exact"/>
        <w:jc w:val="center"/>
        <w:outlineLvl w:val="1"/>
        <w:rPr>
          <w:rFonts w:ascii="Times New Roman" w:hAnsi="Times New Roman" w:eastAsia="黑体" w:cs="Times New Roman"/>
          <w:bCs/>
          <w:sz w:val="32"/>
          <w:szCs w:val="32"/>
        </w:rPr>
      </w:pPr>
      <w:bookmarkStart w:id="22" w:name="_Toc20428"/>
      <w:bookmarkStart w:id="23" w:name="_Toc16619"/>
      <w:bookmarkStart w:id="24" w:name="_Toc6798"/>
      <w:r>
        <w:rPr>
          <w:rFonts w:ascii="Times New Roman" w:hAnsi="Times New Roman" w:eastAsia="黑体" w:cs="Times New Roman"/>
          <w:bCs/>
          <w:sz w:val="32"/>
          <w:szCs w:val="32"/>
        </w:rPr>
        <w:t>第三节  机遇与挑战</w:t>
      </w:r>
      <w:bookmarkEnd w:id="22"/>
      <w:bookmarkEnd w:id="23"/>
      <w:bookmarkEnd w:id="24"/>
    </w:p>
    <w:p w14:paraId="780B64CA">
      <w:pPr>
        <w:spacing w:line="580" w:lineRule="exact"/>
        <w:ind w:firstLine="600" w:firstLineChars="200"/>
        <w:outlineLvl w:val="2"/>
        <w:rPr>
          <w:rFonts w:ascii="Times New Roman" w:hAnsi="Times New Roman" w:eastAsia="楷体_GB2312" w:cs="Times New Roman"/>
          <w:b/>
          <w:bCs/>
          <w:sz w:val="30"/>
          <w:szCs w:val="30"/>
        </w:rPr>
      </w:pPr>
      <w:bookmarkStart w:id="25" w:name="_Toc27463"/>
      <w:bookmarkStart w:id="26" w:name="_Toc535093388"/>
      <w:r>
        <w:rPr>
          <w:rFonts w:ascii="Times New Roman" w:hAnsi="Times New Roman" w:eastAsia="楷体_GB2312" w:cs="Times New Roman"/>
          <w:b/>
          <w:bCs/>
          <w:sz w:val="30"/>
          <w:szCs w:val="30"/>
        </w:rPr>
        <w:t>（一）面临的机遇</w:t>
      </w:r>
      <w:bookmarkEnd w:id="25"/>
      <w:bookmarkEnd w:id="26"/>
    </w:p>
    <w:p w14:paraId="68269DEE">
      <w:pPr>
        <w:adjustRightInd w:val="0"/>
        <w:snapToGrid w:val="0"/>
        <w:spacing w:line="580"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b/>
          <w:bCs/>
          <w:sz w:val="30"/>
          <w:szCs w:val="30"/>
          <w:lang w:val="zh-CN"/>
        </w:rPr>
        <w:t>国家及自治区战略和政策带来的新机遇。</w:t>
      </w:r>
      <w:r>
        <w:rPr>
          <w:rFonts w:ascii="Times New Roman" w:hAnsi="Times New Roman" w:eastAsia="仿宋_GB2312" w:cs="Times New Roman"/>
          <w:sz w:val="30"/>
          <w:szCs w:val="30"/>
        </w:rPr>
        <w:t>未来一个时期，我国将畅通国内大循环，促进国内国际双循环，全面促进消费，拓展投资空间，推动形成强大国内市场，构建新发展格局，坚定支持民族地区加快发展，加大对欠发达地区财力支持，加强边疆地区建设，推进兴边富民和稳边固边，长期坚持“中央支持西藏、全国支援西藏”的政策；与此同时，昌都市“十四五”时期将着力促进社会和谐稳定、提升应急防控能力、加强生态保护、强化要素和现代化设施建设、优化城乡发展格局、培育高原特色产业、提高改革开放与创新水平、促进生态文化旅游大融合。这些战略机遇和有利条件，均有助于</w:t>
      </w:r>
      <w:r>
        <w:rPr>
          <w:rFonts w:hint="eastAsia" w:ascii="Times New Roman" w:hAnsi="Times New Roman" w:eastAsia="仿宋_GB2312" w:cs="Times New Roman"/>
          <w:sz w:val="30"/>
          <w:szCs w:val="30"/>
        </w:rPr>
        <w:t>洛隆</w:t>
      </w:r>
      <w:r>
        <w:rPr>
          <w:rFonts w:ascii="Times New Roman" w:hAnsi="Times New Roman" w:eastAsia="仿宋_GB2312" w:cs="Times New Roman"/>
          <w:sz w:val="30"/>
          <w:szCs w:val="30"/>
        </w:rPr>
        <w:t>凭借良好的农牧业基础、传统商贸业底蕴、丰富的矿产和</w:t>
      </w:r>
      <w:r>
        <w:rPr>
          <w:rFonts w:hint="eastAsia" w:ascii="Times New Roman" w:hAnsi="Times New Roman" w:eastAsia="仿宋_GB2312" w:cs="Times New Roman"/>
          <w:sz w:val="30"/>
          <w:szCs w:val="30"/>
        </w:rPr>
        <w:t>林草</w:t>
      </w:r>
      <w:r>
        <w:rPr>
          <w:rFonts w:ascii="Times New Roman" w:hAnsi="Times New Roman" w:eastAsia="仿宋_GB2312" w:cs="Times New Roman"/>
          <w:sz w:val="30"/>
          <w:szCs w:val="30"/>
        </w:rPr>
        <w:t>资源、悠久的历史文化、壮阔的自然景观等自身优势，进一步推动经济社会各领域发展，强化昌都融入藏中经济区和对接陕甘青宁经济区的桥头堡作用，以及连接青藏铁路沿线城镇与藏东城镇的重要纽带作用，实现“西藏原生态特色文化旅游目的地和现代服务业集聚区”区域定位。</w:t>
      </w:r>
    </w:p>
    <w:p w14:paraId="2C8599BD">
      <w:pPr>
        <w:adjustRightInd w:val="0"/>
        <w:snapToGrid w:val="0"/>
        <w:spacing w:line="580" w:lineRule="exact"/>
        <w:ind w:firstLine="600" w:firstLineChars="200"/>
        <w:rPr>
          <w:rFonts w:ascii="Times New Roman" w:hAnsi="Times New Roman" w:eastAsia="仿宋_GB2312" w:cs="Times New Roman"/>
          <w:spacing w:val="-4"/>
          <w:sz w:val="28"/>
          <w:szCs w:val="28"/>
        </w:rPr>
      </w:pPr>
      <w:r>
        <w:rPr>
          <w:rFonts w:ascii="Times New Roman" w:hAnsi="Times New Roman" w:eastAsia="仿宋_GB2312" w:cs="Times New Roman"/>
          <w:b/>
          <w:bCs/>
          <w:sz w:val="30"/>
          <w:szCs w:val="30"/>
          <w:lang w:val="zh-CN"/>
        </w:rPr>
        <w:t>西藏自治区</w:t>
      </w:r>
      <w:r>
        <w:rPr>
          <w:rFonts w:hint="eastAsia" w:ascii="Times New Roman" w:hAnsi="Times New Roman" w:eastAsia="仿宋_GB2312" w:cs="Times New Roman"/>
          <w:b/>
          <w:bCs/>
          <w:sz w:val="30"/>
          <w:szCs w:val="30"/>
          <w:lang w:val="zh-CN"/>
        </w:rPr>
        <w:t>、</w:t>
      </w:r>
      <w:r>
        <w:rPr>
          <w:rFonts w:hint="eastAsia" w:ascii="Times New Roman" w:hAnsi="Times New Roman" w:eastAsia="仿宋_GB2312" w:cs="Times New Roman"/>
          <w:b/>
          <w:bCs/>
          <w:sz w:val="30"/>
          <w:szCs w:val="30"/>
        </w:rPr>
        <w:t>昌都市</w:t>
      </w:r>
      <w:r>
        <w:rPr>
          <w:rFonts w:ascii="Times New Roman" w:hAnsi="Times New Roman" w:eastAsia="仿宋_GB2312" w:cs="Times New Roman"/>
          <w:b/>
          <w:bCs/>
          <w:sz w:val="30"/>
          <w:szCs w:val="30"/>
          <w:lang w:val="zh-CN"/>
        </w:rPr>
        <w:t>积极推进国家生态文明高地建设。</w:t>
      </w:r>
      <w:r>
        <w:rPr>
          <w:rFonts w:hint="eastAsia" w:ascii="Times New Roman" w:hAnsi="Times New Roman" w:eastAsia="仿宋_GB2312" w:cs="Times New Roman"/>
          <w:sz w:val="30"/>
          <w:szCs w:val="30"/>
          <w:lang w:val="zh-CN"/>
        </w:rPr>
        <w:t>西藏自治区深入贯彻落实党中央、国务院关于生态文明建设的重大战略部署，深入贯彻落实习近平总书记关于治边稳藏的重要论述和加强民族团结、建设美丽西藏的重要指示，坚持把保护好青藏高原生态作为对中华民族生存和发展的最大贡献，着力推进美丽西藏建设。近年来，西藏自治区先后制定出台《关于建设美丽西藏的意见》《关于着力构筑国家重要生态安全屏障加快推进生态文明建设的实施意见》、《西藏自治区国家生态文明高地建设条例》等一系列生态文明建设指导意见，对全区生态文明建设进行总体部署。西藏自治区生态环境保护大会和《西藏自治区国家生态文明高地建设条例》明确提出，要将西藏建设成为国家生态文明高地，国家生态安全屏障地、国家人与自然和谐共生示范地、国家绿色发展实验地、国家自然保护样板地、国家生态富民先行地。国家生态文明高地的战略部署明确了青藏高原生态文明建设的新方向、新要求，指引</w:t>
      </w:r>
      <w:r>
        <w:rPr>
          <w:rFonts w:hint="eastAsia" w:ascii="Times New Roman" w:hAnsi="Times New Roman" w:eastAsia="仿宋_GB2312" w:cs="Times New Roman"/>
          <w:sz w:val="30"/>
          <w:szCs w:val="30"/>
        </w:rPr>
        <w:t>昌都</w:t>
      </w:r>
      <w:r>
        <w:rPr>
          <w:rFonts w:hint="eastAsia" w:ascii="Times New Roman" w:hAnsi="Times New Roman" w:eastAsia="仿宋_GB2312" w:cs="Times New Roman"/>
          <w:sz w:val="30"/>
          <w:szCs w:val="30"/>
          <w:lang w:val="zh-CN"/>
        </w:rPr>
        <w:t>市对青藏高原生态价值的认识越来越深化，保护青藏高原生态的措施越来越务实。</w:t>
      </w:r>
      <w:r>
        <w:rPr>
          <w:rFonts w:hint="eastAsia" w:ascii="Times New Roman" w:hAnsi="Times New Roman" w:eastAsia="仿宋_GB2312" w:cs="Times New Roman"/>
          <w:sz w:val="30"/>
          <w:szCs w:val="30"/>
        </w:rPr>
        <w:t>昌都</w:t>
      </w:r>
      <w:r>
        <w:rPr>
          <w:rFonts w:hint="eastAsia" w:ascii="Times New Roman" w:hAnsi="Times New Roman" w:eastAsia="仿宋_GB2312" w:cs="Times New Roman"/>
          <w:sz w:val="30"/>
          <w:szCs w:val="30"/>
          <w:lang w:val="zh-CN"/>
        </w:rPr>
        <w:t>市</w:t>
      </w:r>
      <w:r>
        <w:rPr>
          <w:rFonts w:hint="eastAsia" w:ascii="Times New Roman" w:hAnsi="Times New Roman" w:eastAsia="仿宋_GB2312" w:cs="Times New Roman"/>
          <w:sz w:val="30"/>
          <w:szCs w:val="30"/>
        </w:rPr>
        <w:t>也提出着力创建全区生态文明高地，</w:t>
      </w:r>
      <w:r>
        <w:rPr>
          <w:rFonts w:hint="eastAsia" w:ascii="Times New Roman" w:hAnsi="Times New Roman" w:eastAsia="仿宋_GB2312" w:cs="Times New Roman"/>
          <w:sz w:val="30"/>
          <w:szCs w:val="30"/>
          <w:lang w:val="zh-CN"/>
        </w:rPr>
        <w:t>使</w:t>
      </w:r>
      <w:r>
        <w:rPr>
          <w:rFonts w:hint="eastAsia" w:ascii="Times New Roman" w:hAnsi="Times New Roman" w:eastAsia="仿宋_GB2312" w:cs="Times New Roman"/>
          <w:sz w:val="30"/>
          <w:szCs w:val="30"/>
        </w:rPr>
        <w:t>昌都</w:t>
      </w:r>
      <w:r>
        <w:rPr>
          <w:rFonts w:hint="eastAsia" w:ascii="Times New Roman" w:hAnsi="Times New Roman" w:eastAsia="仿宋_GB2312" w:cs="Times New Roman"/>
          <w:sz w:val="30"/>
          <w:szCs w:val="30"/>
          <w:lang w:val="zh-CN"/>
        </w:rPr>
        <w:t>成为践行习近平生态文明思想的先锋、贯彻国家生态安全战略的标杆、打造人与自然和谐共生的典范、坚持绿色低碳引领发展的样板，为中华民族生存和发展作出贡献。</w:t>
      </w:r>
      <w:r>
        <w:rPr>
          <w:rFonts w:hint="eastAsia" w:ascii="Times New Roman" w:hAnsi="Times New Roman" w:eastAsia="仿宋_GB2312" w:cs="Times New Roman"/>
          <w:sz w:val="30"/>
          <w:szCs w:val="30"/>
        </w:rPr>
        <w:t>这均为洛隆县生态文明建设工作提供了指引。</w:t>
      </w:r>
    </w:p>
    <w:p w14:paraId="1C67BF2E">
      <w:pPr>
        <w:adjustRightInd w:val="0"/>
        <w:snapToGrid w:val="0"/>
        <w:spacing w:line="580"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b/>
          <w:bCs/>
          <w:sz w:val="30"/>
          <w:szCs w:val="30"/>
          <w:lang w:val="zh-CN"/>
        </w:rPr>
        <w:t>新一轮援藏工作为全县发展注入更多动能。</w:t>
      </w:r>
      <w:r>
        <w:rPr>
          <w:rFonts w:ascii="Times New Roman" w:hAnsi="Times New Roman" w:eastAsia="仿宋_GB2312" w:cs="Times New Roman"/>
          <w:sz w:val="30"/>
          <w:szCs w:val="30"/>
        </w:rPr>
        <w:t>近年来，在对口援藏省市全方位、多层次、宽领域、大力度的援藏工作支持下，有力推动了全县改革发展稳定各项工作，取得了明显的政治效益、经济效益、社会效益。中央第</w:t>
      </w:r>
      <w:r>
        <w:rPr>
          <w:rFonts w:hint="eastAsia" w:ascii="Times New Roman" w:hAnsi="Times New Roman" w:eastAsia="仿宋_GB2312" w:cs="Times New Roman"/>
          <w:sz w:val="30"/>
          <w:szCs w:val="30"/>
        </w:rPr>
        <w:t>七</w:t>
      </w:r>
      <w:r>
        <w:rPr>
          <w:rFonts w:ascii="Times New Roman" w:hAnsi="Times New Roman" w:eastAsia="仿宋_GB2312" w:cs="Times New Roman"/>
          <w:sz w:val="30"/>
          <w:szCs w:val="30"/>
        </w:rPr>
        <w:t>次西藏工作座谈会，确定继续支持西藏发展的一系列优惠政策和一批事关经济社会发展的重大项目。经济援藏、教育援藏、就业援藏、科技援藏、干部人才援藏受援工作，对于推进</w:t>
      </w:r>
      <w:r>
        <w:rPr>
          <w:rFonts w:hint="eastAsia" w:ascii="Times New Roman" w:hAnsi="Times New Roman" w:eastAsia="仿宋_GB2312" w:cs="Times New Roman"/>
          <w:sz w:val="30"/>
          <w:szCs w:val="30"/>
        </w:rPr>
        <w:t>洛隆</w:t>
      </w:r>
      <w:r>
        <w:rPr>
          <w:rFonts w:ascii="Times New Roman" w:hAnsi="Times New Roman" w:eastAsia="仿宋_GB2312" w:cs="Times New Roman"/>
          <w:sz w:val="30"/>
          <w:szCs w:val="30"/>
        </w:rPr>
        <w:t>县跨越式发展具有重大的指导意义和深远的历史意义，将迎来跨越发展新阶段和历史新机遇。</w:t>
      </w:r>
    </w:p>
    <w:p w14:paraId="531E012E">
      <w:pPr>
        <w:adjustRightInd w:val="0"/>
        <w:snapToGrid w:val="0"/>
        <w:spacing w:line="580"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b/>
          <w:bCs/>
          <w:sz w:val="30"/>
          <w:szCs w:val="30"/>
          <w:lang w:val="zh-CN"/>
        </w:rPr>
        <w:t>高速公路与铁路等重大交通基础建设大幅提升</w:t>
      </w:r>
      <w:r>
        <w:rPr>
          <w:rFonts w:hint="eastAsia" w:ascii="Times New Roman" w:hAnsi="Times New Roman" w:eastAsia="仿宋_GB2312" w:cs="Times New Roman"/>
          <w:b/>
          <w:bCs/>
          <w:sz w:val="30"/>
          <w:szCs w:val="30"/>
          <w:lang w:val="zh-CN"/>
        </w:rPr>
        <w:t>洛隆</w:t>
      </w:r>
      <w:r>
        <w:rPr>
          <w:rFonts w:ascii="Times New Roman" w:hAnsi="Times New Roman" w:eastAsia="仿宋_GB2312" w:cs="Times New Roman"/>
          <w:b/>
          <w:bCs/>
          <w:sz w:val="30"/>
          <w:szCs w:val="30"/>
          <w:lang w:val="zh-CN"/>
        </w:rPr>
        <w:t>发展势能。</w:t>
      </w:r>
      <w:r>
        <w:rPr>
          <w:rFonts w:hint="eastAsia" w:ascii="Times New Roman" w:hAnsi="Times New Roman" w:eastAsia="仿宋_GB2312" w:cs="Times New Roman"/>
          <w:sz w:val="30"/>
          <w:szCs w:val="30"/>
        </w:rPr>
        <w:t>随着国家提出建设“一带一路”和孟中印缅经济走廊，自治区提出建设南亚大通道的构想。川藏铁路、邦达机场、川藏和滇藏公路重要地段改造等一系列重大交通基础设施加快建设，大幅提升了洛隆地理位置和区位条件优势，加快融入藏中四小时经济圈和成渝经济圈，更增强了洛隆的影响力、竞争力和自我发展能力。为洛隆更好承接东部地区产业转移，不断深化区域合作，拓展发展空间，参与国际经济合作提供良好机遇，将区位优势进一步转化为经济发展和生态文明建设优势。</w:t>
      </w:r>
    </w:p>
    <w:p w14:paraId="412027C3">
      <w:pPr>
        <w:adjustRightInd w:val="0"/>
        <w:snapToGrid w:val="0"/>
        <w:spacing w:line="500"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b/>
          <w:bCs/>
          <w:sz w:val="30"/>
          <w:szCs w:val="30"/>
          <w:lang w:val="zh-CN"/>
        </w:rPr>
        <w:t>国家乡村振兴战略为生态文明建设提供了有效路径。</w:t>
      </w:r>
      <w:r>
        <w:rPr>
          <w:rFonts w:ascii="Times New Roman" w:hAnsi="Times New Roman" w:eastAsia="仿宋_GB2312" w:cs="Times New Roman"/>
          <w:sz w:val="30"/>
          <w:szCs w:val="30"/>
        </w:rPr>
        <w:t>实施乡村振兴战略是党中央在新时代的重大战略部署，坚持农业农村优先发展，按照产业兴旺、生态宜居、乡风文明、治理有效、生活富裕的总要求，建立健全城乡融合发展体制机制和政策体系，提升农业农村工作，改善农民生产生活面貌，推进农业农村现代化。它是决胜同步全面小康的重要举措，是解决不平衡、不充分发展的有效抓手。2018年中共中央、国务院先后印发了《关于实施乡村振兴战略的意见》和《乡村振兴战略规划（2018－2022年）》，提出了乡村振兴“三步走”的时间表，并明确了乡村振兴“应该怎么干”、“具体如何干”。西藏自治区在2018年提出了“神圣国土守护者、幸福家园建设者”为主题的乡村</w:t>
      </w:r>
      <w:r>
        <w:rPr>
          <w:rFonts w:hint="eastAsia" w:ascii="Times New Roman" w:hAnsi="Times New Roman" w:eastAsia="仿宋_GB2312" w:cs="Times New Roman"/>
          <w:sz w:val="30"/>
          <w:szCs w:val="30"/>
          <w:lang w:val="en-US" w:eastAsia="zh-CN"/>
        </w:rPr>
        <w:t>振兴</w:t>
      </w:r>
      <w:r>
        <w:rPr>
          <w:rFonts w:ascii="Times New Roman" w:hAnsi="Times New Roman" w:eastAsia="仿宋_GB2312" w:cs="Times New Roman"/>
          <w:sz w:val="30"/>
          <w:szCs w:val="30"/>
        </w:rPr>
        <w:t>战略实施要求。</w:t>
      </w:r>
    </w:p>
    <w:p w14:paraId="09A24CD1">
      <w:pPr>
        <w:adjustRightInd w:val="0"/>
        <w:snapToGrid w:val="0"/>
        <w:spacing w:line="500" w:lineRule="exact"/>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洛隆</w:t>
      </w:r>
      <w:r>
        <w:rPr>
          <w:rFonts w:ascii="Times New Roman" w:hAnsi="Times New Roman" w:eastAsia="仿宋_GB2312" w:cs="Times New Roman"/>
          <w:sz w:val="30"/>
          <w:szCs w:val="30"/>
        </w:rPr>
        <w:t>县是乡村人口大县，城镇化率仅8.5%，小城大乡特点鲜明，乡村人口比重高、分布范围广泛、村庄类型多样。同时，农业农村发展基础差、发展滞后、竞争能力不足，农村环境和生态问题比较突出</w:t>
      </w:r>
      <w:r>
        <w:rPr>
          <w:rFonts w:hint="eastAsia" w:ascii="Times New Roman" w:hAnsi="Times New Roman" w:eastAsia="仿宋_GB2312" w:cs="Times New Roman"/>
          <w:sz w:val="30"/>
          <w:szCs w:val="30"/>
        </w:rPr>
        <w:t>，</w:t>
      </w:r>
      <w:r>
        <w:rPr>
          <w:rFonts w:ascii="Times New Roman" w:hAnsi="Times New Roman" w:eastAsia="仿宋_GB2312" w:cs="Times New Roman"/>
          <w:sz w:val="30"/>
          <w:szCs w:val="30"/>
        </w:rPr>
        <w:t>这些都是制约着</w:t>
      </w:r>
      <w:r>
        <w:rPr>
          <w:rFonts w:hint="eastAsia" w:ascii="Times New Roman" w:hAnsi="Times New Roman" w:eastAsia="仿宋_GB2312" w:cs="Times New Roman"/>
          <w:sz w:val="30"/>
          <w:szCs w:val="30"/>
        </w:rPr>
        <w:t>洛隆</w:t>
      </w:r>
      <w:r>
        <w:rPr>
          <w:rFonts w:ascii="Times New Roman" w:hAnsi="Times New Roman" w:eastAsia="仿宋_GB2312" w:cs="Times New Roman"/>
          <w:sz w:val="30"/>
          <w:szCs w:val="30"/>
        </w:rPr>
        <w:t>县生态文明建设的“短板”。而乡村振兴战略就是从城乡融合发展和优化乡村内部生产生活生态空间两个方面，提出了重塑城乡关系、促进农村全面进步的新路径和新要求。产业兴旺是重点，生态宜居是关键，乡风文明是保障，治理有效是基础、生活富裕是根本，摆脱贫困是前提，制度建设是主线。这些安排部署正是生态文明建设的重要内容，也是加快生态文明建设的方法要领。</w:t>
      </w:r>
      <w:bookmarkStart w:id="27" w:name="_Toc18304"/>
      <w:bookmarkStart w:id="28" w:name="_Toc535093389"/>
    </w:p>
    <w:p w14:paraId="3269B3C3">
      <w:pPr>
        <w:spacing w:line="580" w:lineRule="exact"/>
        <w:ind w:firstLine="600" w:firstLineChars="200"/>
        <w:outlineLvl w:val="2"/>
        <w:rPr>
          <w:rFonts w:ascii="Times New Roman" w:hAnsi="Times New Roman" w:eastAsia="楷体_GB2312" w:cs="Times New Roman"/>
          <w:b/>
          <w:bCs/>
          <w:sz w:val="30"/>
          <w:szCs w:val="30"/>
          <w:lang w:val="zh-CN"/>
        </w:rPr>
      </w:pPr>
      <w:r>
        <w:rPr>
          <w:rFonts w:ascii="Times New Roman" w:hAnsi="Times New Roman" w:eastAsia="楷体_GB2312" w:cs="Times New Roman"/>
          <w:b/>
          <w:bCs/>
          <w:sz w:val="30"/>
          <w:szCs w:val="30"/>
          <w:lang w:val="zh-CN"/>
        </w:rPr>
        <w:t>（二）主要挑战</w:t>
      </w:r>
      <w:bookmarkEnd w:id="27"/>
      <w:bookmarkEnd w:id="28"/>
    </w:p>
    <w:bookmarkEnd w:id="3"/>
    <w:bookmarkEnd w:id="4"/>
    <w:p w14:paraId="1C21FE68">
      <w:pPr>
        <w:adjustRightInd w:val="0"/>
        <w:snapToGrid w:val="0"/>
        <w:spacing w:line="500" w:lineRule="exact"/>
        <w:ind w:firstLine="600" w:firstLineChars="200"/>
        <w:rPr>
          <w:rFonts w:ascii="Times New Roman" w:hAnsi="Times New Roman" w:eastAsia="仿宋_GB2312" w:cs="Times New Roman"/>
          <w:sz w:val="30"/>
          <w:szCs w:val="30"/>
        </w:rPr>
      </w:pPr>
      <w:bookmarkStart w:id="29" w:name="_Hlk57717335"/>
      <w:bookmarkStart w:id="30" w:name="_Hlk58457163"/>
      <w:r>
        <w:rPr>
          <w:rFonts w:ascii="Times New Roman" w:hAnsi="Times New Roman" w:eastAsia="仿宋_GB2312" w:cs="Times New Roman"/>
          <w:b/>
          <w:bCs/>
          <w:kern w:val="0"/>
          <w:sz w:val="30"/>
          <w:szCs w:val="30"/>
          <w:lang w:val="zh-CN"/>
        </w:rPr>
        <w:t>新冠肺炎疫情下国际国内新形势带来的挑战。</w:t>
      </w:r>
      <w:r>
        <w:rPr>
          <w:rFonts w:ascii="Times New Roman" w:hAnsi="Times New Roman" w:eastAsia="仿宋_GB2312" w:cs="Times New Roman"/>
          <w:sz w:val="30"/>
          <w:szCs w:val="30"/>
        </w:rPr>
        <w:t>全球经济受新冠肺炎疫情持久影响，同时面临着债务困境、产业链供应链循环受阻、国际贸易投资萎缩、金融市场风险累积、大宗商品市场动荡、“失业潮”持续袭来等叠加影响持续深化。加之中美间一系列严重对立和冲突，逆全球化阴霆加重，世界进入动荡变革期，单边主义、保护主义、霸权主义对世界和平与发展构成威胁。我国为应对长期挑战，提出了以国内循环为主体，国内国际双循环相互促进的新发展格局。受疫情影响，全国各地居民外出，尤其是跨省旅游显著减少，物流和各类需求也相应降低，这对于</w:t>
      </w:r>
      <w:r>
        <w:rPr>
          <w:rFonts w:hint="eastAsia" w:ascii="Times New Roman" w:hAnsi="Times New Roman" w:eastAsia="仿宋_GB2312" w:cs="Times New Roman"/>
          <w:sz w:val="30"/>
          <w:szCs w:val="30"/>
        </w:rPr>
        <w:t>洛隆</w:t>
      </w:r>
      <w:r>
        <w:rPr>
          <w:rFonts w:ascii="Times New Roman" w:hAnsi="Times New Roman" w:eastAsia="仿宋_GB2312" w:cs="Times New Roman"/>
          <w:sz w:val="30"/>
          <w:szCs w:val="30"/>
        </w:rPr>
        <w:t>县商贸物流、旅游业以及特色农牧业等主要产业影响显著，</w:t>
      </w:r>
      <w:r>
        <w:rPr>
          <w:rFonts w:hint="eastAsia" w:ascii="Times New Roman" w:hAnsi="Times New Roman" w:eastAsia="仿宋_GB2312" w:cs="Times New Roman"/>
          <w:sz w:val="30"/>
          <w:szCs w:val="30"/>
        </w:rPr>
        <w:t>恢复到</w:t>
      </w:r>
      <w:r>
        <w:rPr>
          <w:rFonts w:ascii="Times New Roman" w:hAnsi="Times New Roman" w:eastAsia="仿宋_GB2312" w:cs="Times New Roman"/>
          <w:sz w:val="30"/>
          <w:szCs w:val="30"/>
        </w:rPr>
        <w:t>疫情前的水平仍需要一段时间。疫情下新的国际国内形势加大了生态文明治理体系和能力建设的难度。</w:t>
      </w:r>
    </w:p>
    <w:p w14:paraId="5F29A8F5">
      <w:pPr>
        <w:adjustRightInd w:val="0"/>
        <w:snapToGrid w:val="0"/>
        <w:spacing w:line="500" w:lineRule="exact"/>
        <w:ind w:firstLine="600" w:firstLineChars="200"/>
        <w:rPr>
          <w:rFonts w:ascii="Times New Roman" w:hAnsi="Times New Roman" w:eastAsia="仿宋_GB2312" w:cs="Times New Roman"/>
          <w:sz w:val="30"/>
          <w:szCs w:val="30"/>
        </w:rPr>
      </w:pPr>
      <w:bookmarkStart w:id="31" w:name="_Toc57285496"/>
      <w:r>
        <w:rPr>
          <w:rFonts w:ascii="Times New Roman" w:hAnsi="Times New Roman" w:eastAsia="仿宋_GB2312" w:cs="Times New Roman"/>
          <w:b/>
          <w:bCs/>
          <w:kern w:val="0"/>
          <w:sz w:val="30"/>
          <w:szCs w:val="30"/>
          <w:lang w:val="zh-CN"/>
        </w:rPr>
        <w:t>藏区发展进入新时代面临新任务</w:t>
      </w:r>
      <w:bookmarkEnd w:id="31"/>
      <w:r>
        <w:rPr>
          <w:rFonts w:ascii="Times New Roman" w:hAnsi="Times New Roman" w:eastAsia="仿宋_GB2312" w:cs="Times New Roman"/>
          <w:b/>
          <w:bCs/>
          <w:kern w:val="0"/>
          <w:sz w:val="30"/>
          <w:szCs w:val="30"/>
          <w:lang w:val="zh-CN"/>
        </w:rPr>
        <w:t>。</w:t>
      </w:r>
      <w:r>
        <w:rPr>
          <w:rFonts w:ascii="Times New Roman" w:hAnsi="Times New Roman" w:eastAsia="仿宋_GB2312" w:cs="Times New Roman"/>
          <w:sz w:val="30"/>
          <w:szCs w:val="30"/>
        </w:rPr>
        <w:t>第六次西藏工作座谈会以来，藏区形成多重政策叠加、多种资源汇集合力，生态环境保护成效明显、流域治理能力不断提升、区域发展水平逐步提高、脱贫攻坚取得重大进展、人民生产生活水平得到大幅改善，与全国同步建成小康社会。2020年8月召开的第七次西藏工作座谈会描绘了新时代藏区发展新蓝图。藏区将进入生态功能区建设、增强自我发展能力的重要阶段，保持持续稳定和全面稳定、走向长治久安的关键阶段，聚焦改进作风、全面夯实基础基层的强化阶段。秉承绿水青山就是金山银山</w:t>
      </w:r>
      <w:r>
        <w:rPr>
          <w:rFonts w:hint="eastAsia" w:ascii="Times New Roman" w:hAnsi="Times New Roman" w:eastAsia="仿宋_GB2312" w:cs="Times New Roman"/>
          <w:sz w:val="30"/>
          <w:szCs w:val="30"/>
        </w:rPr>
        <w:t>、</w:t>
      </w:r>
      <w:r>
        <w:rPr>
          <w:rFonts w:ascii="Times New Roman" w:hAnsi="Times New Roman" w:eastAsia="仿宋_GB2312" w:cs="Times New Roman"/>
          <w:sz w:val="30"/>
          <w:szCs w:val="30"/>
        </w:rPr>
        <w:t>冰天雪地也是金山银山的理念，坚持生态优先、绿色发展的导向，坚持共同团结奋斗、共同繁荣发展的主题，共同抓好大保护、协同推进大治理，以生态产品价值转化为抓手，提高造血能力、增强内生动力，切实筑牢长江上游生态屏障，促进民族团结、维护国家安全，将是新时代藏区发展的重要使命。</w:t>
      </w:r>
    </w:p>
    <w:p w14:paraId="5C439C4A">
      <w:pPr>
        <w:adjustRightInd w:val="0"/>
        <w:snapToGrid w:val="0"/>
        <w:spacing w:line="500" w:lineRule="exact"/>
        <w:ind w:firstLine="600" w:firstLineChars="200"/>
        <w:rPr>
          <w:rFonts w:ascii="Times New Roman" w:hAnsi="Times New Roman" w:eastAsia="仿宋_GB2312" w:cs="Times New Roman"/>
          <w:sz w:val="30"/>
          <w:szCs w:val="30"/>
        </w:rPr>
      </w:pPr>
      <w:bookmarkStart w:id="32" w:name="_Toc57285497"/>
      <w:r>
        <w:rPr>
          <w:rFonts w:ascii="Times New Roman" w:hAnsi="Times New Roman" w:eastAsia="仿宋_GB2312" w:cs="Times New Roman"/>
          <w:b/>
          <w:bCs/>
          <w:kern w:val="0"/>
          <w:sz w:val="30"/>
          <w:szCs w:val="30"/>
          <w:lang w:val="zh-CN"/>
        </w:rPr>
        <w:t>如何正确处理保护与发展的关系，实现生态惠民</w:t>
      </w:r>
      <w:bookmarkEnd w:id="32"/>
      <w:r>
        <w:rPr>
          <w:rFonts w:ascii="Times New Roman" w:hAnsi="Times New Roman" w:eastAsia="仿宋_GB2312" w:cs="Times New Roman"/>
          <w:b/>
          <w:bCs/>
          <w:kern w:val="0"/>
          <w:sz w:val="30"/>
          <w:szCs w:val="30"/>
          <w:lang w:val="zh-CN"/>
        </w:rPr>
        <w:t>。</w:t>
      </w:r>
      <w:r>
        <w:rPr>
          <w:rFonts w:hint="eastAsia" w:ascii="Times New Roman" w:hAnsi="Times New Roman" w:eastAsia="仿宋_GB2312" w:cs="Times New Roman"/>
          <w:sz w:val="30"/>
          <w:szCs w:val="30"/>
        </w:rPr>
        <w:t>洛隆</w:t>
      </w:r>
      <w:r>
        <w:rPr>
          <w:rFonts w:ascii="Times New Roman" w:hAnsi="Times New Roman" w:eastAsia="仿宋_GB2312" w:cs="Times New Roman"/>
          <w:sz w:val="30"/>
          <w:szCs w:val="30"/>
        </w:rPr>
        <w:t>县</w:t>
      </w:r>
      <w:r>
        <w:rPr>
          <w:rFonts w:hint="eastAsia" w:ascii="Times New Roman" w:hAnsi="Times New Roman" w:eastAsia="仿宋_GB2312" w:cs="Times New Roman"/>
          <w:sz w:val="30"/>
          <w:szCs w:val="30"/>
        </w:rPr>
        <w:t>为</w:t>
      </w:r>
      <w:r>
        <w:rPr>
          <w:rFonts w:ascii="Times New Roman" w:hAnsi="Times New Roman" w:eastAsia="仿宋_GB2312" w:cs="Times New Roman"/>
          <w:sz w:val="30"/>
          <w:szCs w:val="30"/>
        </w:rPr>
        <w:t>昌都地区北部河流水源涵养区，自然景观资源和各类保护地众多，生态功能重要。地处青藏高原，可利用地少，在全县现代化进程加快的大形势下，国家投资力度进一步加大，交通、能源、水利和通信等基础设施快速发展；新农村建设不断深入，农村基本公共服务配套设施不断完善；人口总量增加和农牧区人口向城镇转移，城镇规模不断扩大；人口消费结构升级，城乡居民对高档消费品需求量的迅速增加，由此带来的开发建设活动必然占用更多空间，甚至不可避免地占用一些耕地和绿色空间，这将进一步增强对高原自然生态系统的干扰，成为国土空间优化的主要制约和生态环境退化主要驱动力。</w:t>
      </w:r>
    </w:p>
    <w:p w14:paraId="28CFA231">
      <w:pPr>
        <w:adjustRightInd w:val="0"/>
        <w:snapToGrid w:val="0"/>
        <w:spacing w:line="500" w:lineRule="exact"/>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洛隆</w:t>
      </w:r>
      <w:r>
        <w:rPr>
          <w:rFonts w:ascii="Times New Roman" w:hAnsi="Times New Roman" w:eastAsia="仿宋_GB2312" w:cs="Times New Roman"/>
          <w:sz w:val="30"/>
          <w:szCs w:val="30"/>
        </w:rPr>
        <w:t>县始终坚持旅游主导的绿色生态发展之路，但是随着城乡统筹推进、建成区扩大，</w:t>
      </w:r>
      <w:r>
        <w:rPr>
          <w:rFonts w:hint="eastAsia" w:ascii="Times New Roman" w:hAnsi="Times New Roman" w:eastAsia="仿宋_GB2312" w:cs="Times New Roman"/>
          <w:sz w:val="30"/>
          <w:szCs w:val="30"/>
        </w:rPr>
        <w:t>交通基础设施的建设，</w:t>
      </w:r>
      <w:r>
        <w:rPr>
          <w:rFonts w:ascii="Times New Roman" w:hAnsi="Times New Roman" w:eastAsia="仿宋_GB2312" w:cs="Times New Roman"/>
          <w:sz w:val="30"/>
          <w:szCs w:val="30"/>
        </w:rPr>
        <w:t>以旅游业为主导的产业快速发展，城镇人口和游客数量增加，汽车保有量持续攀升，能源资源消耗增加，</w:t>
      </w:r>
      <w:r>
        <w:rPr>
          <w:rFonts w:hint="eastAsia" w:ascii="Times New Roman" w:hAnsi="Times New Roman" w:eastAsia="仿宋_GB2312" w:cs="Times New Roman"/>
          <w:sz w:val="30"/>
          <w:szCs w:val="30"/>
        </w:rPr>
        <w:t>将导致</w:t>
      </w:r>
      <w:r>
        <w:rPr>
          <w:rFonts w:ascii="Times New Roman" w:hAnsi="Times New Roman" w:eastAsia="仿宋_GB2312" w:cs="Times New Roman"/>
          <w:sz w:val="30"/>
          <w:szCs w:val="30"/>
        </w:rPr>
        <w:t>生活污水、生活垃圾处理压力加大，餐饮油烟、机动车尾气、建筑施工扬尘、道路扬尘等环境问题将更加突出，节能治污减排压力增大。如何把生态保护与经济发展统一起来，把绿色生态价值转化为经济增长动力，满足人民美好生活需要的同时生态环境质量持续改善，是建设幸福美丽</w:t>
      </w:r>
      <w:r>
        <w:rPr>
          <w:rFonts w:hint="eastAsia" w:ascii="Times New Roman" w:hAnsi="Times New Roman" w:eastAsia="仿宋_GB2312" w:cs="Times New Roman"/>
          <w:sz w:val="30"/>
          <w:szCs w:val="30"/>
        </w:rPr>
        <w:t>洛隆</w:t>
      </w:r>
      <w:r>
        <w:rPr>
          <w:rFonts w:ascii="Times New Roman" w:hAnsi="Times New Roman" w:eastAsia="仿宋_GB2312" w:cs="Times New Roman"/>
          <w:sz w:val="30"/>
          <w:szCs w:val="30"/>
        </w:rPr>
        <w:t>的重大课题，是践行“绿水青山就是金山银山，冰天雪地也是金山银山”理念，实现人与自然和谐相处的主要挑战之一。</w:t>
      </w:r>
    </w:p>
    <w:p w14:paraId="408E0D70">
      <w:pPr>
        <w:adjustRightInd w:val="0"/>
        <w:snapToGrid w:val="0"/>
        <w:spacing w:line="500" w:lineRule="exact"/>
        <w:ind w:firstLine="600" w:firstLineChars="200"/>
        <w:rPr>
          <w:rFonts w:eastAsia="仿宋_GB2312"/>
          <w:kern w:val="0"/>
          <w:sz w:val="32"/>
          <w:szCs w:val="32"/>
          <w:lang w:val="zh-CN"/>
        </w:rPr>
      </w:pPr>
      <w:r>
        <w:rPr>
          <w:rFonts w:ascii="Times New Roman" w:hAnsi="Times New Roman" w:eastAsia="仿宋_GB2312" w:cs="Times New Roman"/>
          <w:b/>
          <w:bCs/>
          <w:kern w:val="0"/>
          <w:sz w:val="30"/>
          <w:szCs w:val="30"/>
          <w:lang w:val="zh-CN"/>
        </w:rPr>
        <w:t>气候变化持续引起生态问题频发。</w:t>
      </w:r>
      <w:r>
        <w:rPr>
          <w:rFonts w:hint="eastAsia" w:ascii="Times New Roman" w:hAnsi="Times New Roman" w:eastAsia="仿宋_GB2312" w:cs="Times New Roman"/>
          <w:sz w:val="30"/>
          <w:szCs w:val="30"/>
        </w:rPr>
        <w:t>洛隆</w:t>
      </w:r>
      <w:r>
        <w:rPr>
          <w:rFonts w:ascii="Times New Roman" w:hAnsi="Times New Roman" w:eastAsia="仿宋_GB2312" w:cs="Times New Roman"/>
          <w:sz w:val="30"/>
          <w:szCs w:val="30"/>
        </w:rPr>
        <w:t>位于气候变化敏感区，面临着气候变化的重大外部影响。部分草场的风蚀、水蚀和冻融侵蚀、鼠害虫害等问题在气候变化趋势下频繁发生，对继续维持高原生态系统总体趋好的发展态势构成威胁。与此同时，未来50年</w:t>
      </w:r>
      <w:r>
        <w:rPr>
          <w:rFonts w:hint="eastAsia" w:ascii="Times New Roman" w:hAnsi="Times New Roman" w:eastAsia="仿宋_GB2312" w:cs="Times New Roman"/>
          <w:sz w:val="30"/>
          <w:szCs w:val="30"/>
        </w:rPr>
        <w:t>，</w:t>
      </w:r>
      <w:r>
        <w:rPr>
          <w:rFonts w:ascii="Times New Roman" w:hAnsi="Times New Roman" w:eastAsia="仿宋_GB2312" w:cs="Times New Roman"/>
          <w:sz w:val="30"/>
          <w:szCs w:val="30"/>
        </w:rPr>
        <w:t>西藏高原气候变化呈现出变暖和变湿的突出特征</w:t>
      </w:r>
      <w:r>
        <w:rPr>
          <w:rFonts w:hint="eastAsia" w:ascii="Times New Roman" w:hAnsi="Times New Roman" w:eastAsia="仿宋_GB2312" w:cs="Times New Roman"/>
          <w:sz w:val="30"/>
          <w:szCs w:val="30"/>
        </w:rPr>
        <w:t>。</w:t>
      </w:r>
      <w:r>
        <w:rPr>
          <w:rFonts w:ascii="Times New Roman" w:hAnsi="Times New Roman" w:eastAsia="仿宋_GB2312" w:cs="Times New Roman"/>
          <w:sz w:val="30"/>
          <w:szCs w:val="30"/>
        </w:rPr>
        <w:t>受此影响，雪线上升、冰川退化、湖泊水位消涨、冻土退化和局部草地沙漠化加剧以及由此引起的自然灾害将给</w:t>
      </w:r>
      <w:r>
        <w:rPr>
          <w:rFonts w:hint="eastAsia" w:ascii="Times New Roman" w:hAnsi="Times New Roman" w:eastAsia="仿宋_GB2312" w:cs="Times New Roman"/>
          <w:sz w:val="30"/>
          <w:szCs w:val="30"/>
        </w:rPr>
        <w:t>洛隆县</w:t>
      </w:r>
      <w:r>
        <w:rPr>
          <w:rFonts w:ascii="Times New Roman" w:hAnsi="Times New Roman" w:eastAsia="仿宋_GB2312" w:cs="Times New Roman"/>
          <w:sz w:val="30"/>
          <w:szCs w:val="30"/>
        </w:rPr>
        <w:t>生态文明建设带来持续</w:t>
      </w:r>
      <w:r>
        <w:rPr>
          <w:rFonts w:hint="eastAsia" w:ascii="Times New Roman" w:hAnsi="Times New Roman" w:eastAsia="仿宋_GB2312" w:cs="Times New Roman"/>
          <w:sz w:val="30"/>
          <w:szCs w:val="30"/>
        </w:rPr>
        <w:t>性</w:t>
      </w:r>
      <w:r>
        <w:rPr>
          <w:rFonts w:ascii="Times New Roman" w:hAnsi="Times New Roman" w:eastAsia="仿宋_GB2312" w:cs="Times New Roman"/>
          <w:sz w:val="30"/>
          <w:szCs w:val="30"/>
        </w:rPr>
        <w:t>巨大挑战。</w:t>
      </w:r>
      <w:bookmarkEnd w:id="29"/>
      <w:bookmarkStart w:id="33" w:name="_Toc19109"/>
      <w:r>
        <w:rPr>
          <w:rFonts w:eastAsia="仿宋_GB2312"/>
          <w:kern w:val="0"/>
          <w:sz w:val="32"/>
          <w:szCs w:val="32"/>
          <w:lang w:val="zh-CN"/>
        </w:rPr>
        <w:br w:type="page"/>
      </w:r>
    </w:p>
    <w:bookmarkEnd w:id="30"/>
    <w:bookmarkEnd w:id="33"/>
    <w:p w14:paraId="24A66126">
      <w:pPr>
        <w:pageBreakBefore/>
        <w:spacing w:line="580" w:lineRule="exact"/>
        <w:jc w:val="center"/>
        <w:outlineLvl w:val="0"/>
        <w:rPr>
          <w:rFonts w:ascii="方正小标宋简体" w:hAnsi="Times New Roman" w:eastAsia="方正小标宋简体" w:cs="Times New Roman"/>
          <w:sz w:val="36"/>
          <w:szCs w:val="36"/>
        </w:rPr>
      </w:pPr>
      <w:bookmarkStart w:id="34" w:name="_Toc30410"/>
      <w:bookmarkStart w:id="35" w:name="_Toc29994"/>
      <w:r>
        <w:rPr>
          <w:rFonts w:ascii="方正小标宋简体" w:hAnsi="Times New Roman" w:eastAsia="方正小标宋简体" w:cs="Times New Roman"/>
          <w:sz w:val="36"/>
          <w:szCs w:val="36"/>
        </w:rPr>
        <w:t>第二章 指导思想与目标</w:t>
      </w:r>
      <w:bookmarkEnd w:id="34"/>
      <w:bookmarkEnd w:id="35"/>
      <w:bookmarkStart w:id="36" w:name="_Toc528335018"/>
      <w:bookmarkStart w:id="37" w:name="_Toc514667637"/>
    </w:p>
    <w:p w14:paraId="26C0E260">
      <w:pPr>
        <w:spacing w:line="580" w:lineRule="exact"/>
        <w:jc w:val="center"/>
        <w:outlineLvl w:val="1"/>
        <w:rPr>
          <w:rFonts w:ascii="Times New Roman" w:hAnsi="Times New Roman" w:eastAsia="黑体" w:cs="Times New Roman"/>
          <w:bCs/>
          <w:sz w:val="32"/>
          <w:szCs w:val="32"/>
        </w:rPr>
      </w:pPr>
      <w:bookmarkStart w:id="38" w:name="_Toc7377"/>
      <w:bookmarkStart w:id="39" w:name="_Toc32501"/>
      <w:bookmarkStart w:id="40" w:name="_Toc752"/>
    </w:p>
    <w:p w14:paraId="1DE9B205">
      <w:pPr>
        <w:spacing w:line="580" w:lineRule="exact"/>
        <w:jc w:val="center"/>
        <w:outlineLvl w:val="1"/>
        <w:rPr>
          <w:rFonts w:ascii="Times New Roman" w:hAnsi="Times New Roman" w:eastAsia="黑体" w:cs="Times New Roman"/>
          <w:bCs/>
          <w:sz w:val="32"/>
          <w:szCs w:val="32"/>
        </w:rPr>
      </w:pPr>
      <w:r>
        <w:rPr>
          <w:rFonts w:ascii="Times New Roman" w:hAnsi="Times New Roman" w:eastAsia="黑体" w:cs="Times New Roman"/>
          <w:bCs/>
          <w:sz w:val="32"/>
          <w:szCs w:val="32"/>
        </w:rPr>
        <w:t>第一节  指导思想</w:t>
      </w:r>
      <w:bookmarkEnd w:id="36"/>
      <w:bookmarkEnd w:id="37"/>
      <w:bookmarkEnd w:id="38"/>
      <w:bookmarkEnd w:id="39"/>
      <w:bookmarkEnd w:id="40"/>
    </w:p>
    <w:p w14:paraId="408EFC72">
      <w:pPr>
        <w:adjustRightInd w:val="0"/>
        <w:snapToGrid w:val="0"/>
        <w:spacing w:line="500" w:lineRule="exact"/>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lang w:val="zh-CN"/>
        </w:rPr>
        <w:t>坚持以习近平新时代中国特色社会主义思想为指导，全面贯彻落实党的十九大和十九届历次全会及中央第七次西藏工作的重要论述和新时代党的治藏方略，贯彻落实自治区第十次党代会精神，坚决捍卫“两个确立”、增强“四个意识”、坚定“四个自信”、做到“两个维护”，坚持以人民为中心的发展思想，立足新发展阶段，完整准确全面贯彻新发展理念，服务和融入新发展格局，围绕“四个创建”“四个走在前列”，坚持生态保护第一，牢固树立绿水青山就是金山银山、冰天雪地也是金山银山的理念，坚决落实碳达峰、碳中和要求，以创建国家生态文明高地为导向，以服务高质量发展为主题，以减污降碳协同增效为总抓手，认真践行生态“重在保护、要在治理、高质量发展”理念，</w:t>
      </w:r>
      <w:r>
        <w:rPr>
          <w:rFonts w:ascii="Times New Roman" w:hAnsi="Times New Roman" w:eastAsia="仿宋_GB2312" w:cs="Times New Roman"/>
          <w:sz w:val="30"/>
          <w:szCs w:val="30"/>
        </w:rPr>
        <w:t>优化空间发展格局</w:t>
      </w:r>
      <w:r>
        <w:rPr>
          <w:rFonts w:hint="eastAsia" w:ascii="Times New Roman" w:hAnsi="Times New Roman" w:eastAsia="仿宋_GB2312" w:cs="Times New Roman"/>
          <w:sz w:val="30"/>
          <w:szCs w:val="30"/>
        </w:rPr>
        <w:t>、</w:t>
      </w:r>
      <w:r>
        <w:rPr>
          <w:rFonts w:hint="eastAsia" w:ascii="Times New Roman" w:hAnsi="Times New Roman" w:eastAsia="仿宋_GB2312" w:cs="Times New Roman"/>
          <w:sz w:val="30"/>
          <w:szCs w:val="30"/>
          <w:lang w:val="zh-CN"/>
        </w:rPr>
        <w:t>维护生态安全、</w:t>
      </w:r>
      <w:r>
        <w:rPr>
          <w:rFonts w:hint="eastAsia" w:ascii="Times New Roman" w:hAnsi="Times New Roman" w:eastAsia="仿宋_GB2312" w:cs="Times New Roman"/>
          <w:sz w:val="30"/>
          <w:szCs w:val="30"/>
        </w:rPr>
        <w:t>发展生态经济</w:t>
      </w:r>
      <w:r>
        <w:rPr>
          <w:rFonts w:hint="eastAsia" w:ascii="Times New Roman" w:hAnsi="Times New Roman" w:eastAsia="仿宋_GB2312" w:cs="Times New Roman"/>
          <w:sz w:val="30"/>
          <w:szCs w:val="30"/>
          <w:lang w:val="zh-CN"/>
        </w:rPr>
        <w:t>、</w:t>
      </w:r>
      <w:r>
        <w:rPr>
          <w:rFonts w:hint="eastAsia" w:ascii="Times New Roman" w:hAnsi="Times New Roman" w:eastAsia="仿宋_GB2312" w:cs="Times New Roman"/>
          <w:sz w:val="30"/>
          <w:szCs w:val="30"/>
        </w:rPr>
        <w:t>繁荣生态文化、落实完善生态制度，</w:t>
      </w:r>
      <w:r>
        <w:rPr>
          <w:rFonts w:ascii="Times New Roman" w:hAnsi="Times New Roman" w:eastAsia="仿宋_GB2312" w:cs="Times New Roman"/>
          <w:sz w:val="30"/>
          <w:szCs w:val="30"/>
        </w:rPr>
        <w:t>协同推进</w:t>
      </w:r>
      <w:r>
        <w:rPr>
          <w:rFonts w:hint="eastAsia" w:ascii="Times New Roman" w:hAnsi="Times New Roman" w:eastAsia="仿宋_GB2312" w:cs="Times New Roman"/>
          <w:sz w:val="30"/>
          <w:szCs w:val="30"/>
        </w:rPr>
        <w:t>洛隆</w:t>
      </w:r>
      <w:r>
        <w:rPr>
          <w:rFonts w:ascii="Times New Roman" w:hAnsi="Times New Roman" w:eastAsia="仿宋_GB2312" w:cs="Times New Roman"/>
          <w:sz w:val="30"/>
          <w:szCs w:val="30"/>
        </w:rPr>
        <w:t>县新型工业化、信息化、城镇化、农业现代化和绿色化，把</w:t>
      </w:r>
      <w:r>
        <w:rPr>
          <w:rFonts w:hint="eastAsia" w:ascii="Times New Roman" w:hAnsi="Times New Roman" w:eastAsia="仿宋_GB2312" w:cs="Times New Roman"/>
          <w:sz w:val="30"/>
          <w:szCs w:val="30"/>
        </w:rPr>
        <w:t>洛隆</w:t>
      </w:r>
      <w:r>
        <w:rPr>
          <w:rFonts w:ascii="Times New Roman" w:hAnsi="Times New Roman" w:eastAsia="仿宋_GB2312" w:cs="Times New Roman"/>
          <w:sz w:val="30"/>
          <w:szCs w:val="30"/>
        </w:rPr>
        <w:t>县建设成为团结</w:t>
      </w:r>
      <w:r>
        <w:rPr>
          <w:rFonts w:hint="eastAsia" w:ascii="Times New Roman" w:hAnsi="Times New Roman" w:eastAsia="仿宋_GB2312" w:cs="Times New Roman"/>
          <w:sz w:val="30"/>
          <w:szCs w:val="30"/>
        </w:rPr>
        <w:t>、</w:t>
      </w:r>
      <w:r>
        <w:rPr>
          <w:rFonts w:ascii="Times New Roman" w:hAnsi="Times New Roman" w:eastAsia="仿宋_GB2312" w:cs="Times New Roman"/>
          <w:sz w:val="30"/>
          <w:szCs w:val="30"/>
        </w:rPr>
        <w:t>富裕</w:t>
      </w:r>
      <w:r>
        <w:rPr>
          <w:rFonts w:hint="eastAsia" w:ascii="Times New Roman" w:hAnsi="Times New Roman" w:eastAsia="仿宋_GB2312" w:cs="Times New Roman"/>
          <w:sz w:val="30"/>
          <w:szCs w:val="30"/>
        </w:rPr>
        <w:t>、</w:t>
      </w:r>
      <w:r>
        <w:rPr>
          <w:rFonts w:ascii="Times New Roman" w:hAnsi="Times New Roman" w:eastAsia="仿宋_GB2312" w:cs="Times New Roman"/>
          <w:sz w:val="30"/>
          <w:szCs w:val="30"/>
        </w:rPr>
        <w:t>文明</w:t>
      </w:r>
      <w:r>
        <w:rPr>
          <w:rFonts w:hint="eastAsia" w:ascii="Times New Roman" w:hAnsi="Times New Roman" w:eastAsia="仿宋_GB2312" w:cs="Times New Roman"/>
          <w:sz w:val="30"/>
          <w:szCs w:val="30"/>
        </w:rPr>
        <w:t>、</w:t>
      </w:r>
      <w:r>
        <w:rPr>
          <w:rFonts w:ascii="Times New Roman" w:hAnsi="Times New Roman" w:eastAsia="仿宋_GB2312" w:cs="Times New Roman"/>
          <w:sz w:val="30"/>
          <w:szCs w:val="30"/>
        </w:rPr>
        <w:t>和谐</w:t>
      </w:r>
      <w:r>
        <w:rPr>
          <w:rFonts w:hint="eastAsia" w:ascii="Times New Roman" w:hAnsi="Times New Roman" w:eastAsia="仿宋_GB2312" w:cs="Times New Roman"/>
          <w:sz w:val="30"/>
          <w:szCs w:val="30"/>
        </w:rPr>
        <w:t>、</w:t>
      </w:r>
      <w:r>
        <w:rPr>
          <w:rFonts w:ascii="Times New Roman" w:hAnsi="Times New Roman" w:eastAsia="仿宋_GB2312" w:cs="Times New Roman"/>
          <w:sz w:val="30"/>
          <w:szCs w:val="30"/>
        </w:rPr>
        <w:t>美丽的社会主义现代化新</w:t>
      </w:r>
      <w:r>
        <w:rPr>
          <w:rFonts w:hint="eastAsia" w:ascii="Times New Roman" w:hAnsi="Times New Roman" w:eastAsia="仿宋_GB2312" w:cs="Times New Roman"/>
          <w:sz w:val="30"/>
          <w:szCs w:val="30"/>
        </w:rPr>
        <w:t>洛隆</w:t>
      </w:r>
      <w:r>
        <w:rPr>
          <w:rFonts w:ascii="Times New Roman" w:hAnsi="Times New Roman" w:eastAsia="仿宋_GB2312" w:cs="Times New Roman"/>
          <w:sz w:val="30"/>
          <w:szCs w:val="30"/>
        </w:rPr>
        <w:t>，努力成为生态文明建设标杆之地和国家生态安全屏障的重要一环，为全区、全市生态文明建设提供样板支撑。</w:t>
      </w:r>
    </w:p>
    <w:p w14:paraId="48777196">
      <w:pPr>
        <w:spacing w:line="580" w:lineRule="exact"/>
        <w:jc w:val="center"/>
        <w:outlineLvl w:val="1"/>
        <w:rPr>
          <w:rFonts w:ascii="Times New Roman" w:hAnsi="Times New Roman" w:eastAsia="黑体" w:cs="Times New Roman"/>
          <w:bCs/>
          <w:sz w:val="32"/>
          <w:szCs w:val="32"/>
        </w:rPr>
      </w:pPr>
      <w:bookmarkStart w:id="41" w:name="_Toc17899"/>
      <w:bookmarkStart w:id="42" w:name="_Toc528335019"/>
      <w:bookmarkStart w:id="43" w:name="_Toc20368"/>
      <w:r>
        <w:rPr>
          <w:rFonts w:ascii="Times New Roman" w:hAnsi="Times New Roman" w:eastAsia="黑体" w:cs="Times New Roman"/>
          <w:bCs/>
          <w:sz w:val="32"/>
          <w:szCs w:val="32"/>
        </w:rPr>
        <w:t>第二节  基本原则</w:t>
      </w:r>
      <w:bookmarkEnd w:id="41"/>
      <w:bookmarkEnd w:id="42"/>
      <w:bookmarkEnd w:id="43"/>
    </w:p>
    <w:p w14:paraId="294D6EF8">
      <w:pPr>
        <w:adjustRightInd w:val="0"/>
        <w:snapToGrid w:val="0"/>
        <w:spacing w:line="500"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b/>
          <w:bCs/>
          <w:sz w:val="30"/>
          <w:szCs w:val="30"/>
        </w:rPr>
        <w:t>尊重规律、科学发展的原则。</w:t>
      </w:r>
      <w:r>
        <w:rPr>
          <w:rFonts w:ascii="Times New Roman" w:hAnsi="Times New Roman" w:eastAsia="仿宋_GB2312" w:cs="Times New Roman"/>
          <w:sz w:val="30"/>
          <w:szCs w:val="30"/>
        </w:rPr>
        <w:t>从</w:t>
      </w:r>
      <w:r>
        <w:rPr>
          <w:rFonts w:hint="eastAsia" w:ascii="Times New Roman" w:hAnsi="Times New Roman" w:eastAsia="仿宋_GB2312" w:cs="Times New Roman"/>
          <w:sz w:val="30"/>
          <w:szCs w:val="30"/>
        </w:rPr>
        <w:t>洛隆</w:t>
      </w:r>
      <w:r>
        <w:rPr>
          <w:rFonts w:ascii="Times New Roman" w:hAnsi="Times New Roman" w:eastAsia="仿宋_GB2312" w:cs="Times New Roman"/>
          <w:sz w:val="30"/>
          <w:szCs w:val="30"/>
        </w:rPr>
        <w:t>县实际出发，遵从自然规律和经济规律，科学规划国土空间开发格局，调整优化产业结构，构建生态安全屏障，积极转变生产方式和生活方式，正确处理经济发展、社会进步与环境保护的关系，实现经济与人口、资源、环境协调发展。</w:t>
      </w:r>
    </w:p>
    <w:p w14:paraId="1AA6F404">
      <w:pPr>
        <w:adjustRightInd w:val="0"/>
        <w:snapToGrid w:val="0"/>
        <w:spacing w:line="500"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b/>
          <w:bCs/>
          <w:sz w:val="30"/>
          <w:szCs w:val="30"/>
        </w:rPr>
        <w:t>整体优化、统筹兼顾的原则。</w:t>
      </w:r>
      <w:r>
        <w:rPr>
          <w:rFonts w:ascii="Times New Roman" w:hAnsi="Times New Roman" w:eastAsia="仿宋_GB2312" w:cs="Times New Roman"/>
          <w:sz w:val="30"/>
          <w:szCs w:val="30"/>
        </w:rPr>
        <w:t>在保护和维持人居环境区</w:t>
      </w:r>
      <w:r>
        <w:rPr>
          <w:rFonts w:hint="eastAsia" w:ascii="Times New Roman" w:hAnsi="Times New Roman" w:eastAsia="仿宋_GB2312" w:cs="Times New Roman"/>
          <w:sz w:val="30"/>
          <w:szCs w:val="30"/>
        </w:rPr>
        <w:t>-</w:t>
      </w:r>
      <w:r>
        <w:rPr>
          <w:rFonts w:ascii="Times New Roman" w:hAnsi="Times New Roman" w:eastAsia="仿宋_GB2312" w:cs="Times New Roman"/>
          <w:sz w:val="30"/>
          <w:szCs w:val="30"/>
        </w:rPr>
        <w:t>生态保护优先区</w:t>
      </w:r>
      <w:r>
        <w:rPr>
          <w:rFonts w:hint="eastAsia" w:ascii="Times New Roman" w:hAnsi="Times New Roman" w:eastAsia="仿宋_GB2312" w:cs="Times New Roman"/>
          <w:sz w:val="30"/>
          <w:szCs w:val="30"/>
        </w:rPr>
        <w:t>-</w:t>
      </w:r>
      <w:r>
        <w:rPr>
          <w:rFonts w:ascii="Times New Roman" w:hAnsi="Times New Roman" w:eastAsia="仿宋_GB2312" w:cs="Times New Roman"/>
          <w:sz w:val="30"/>
          <w:szCs w:val="30"/>
        </w:rPr>
        <w:t>农牧业发展区系统的完整性前提下，把生态建设、环境保护、经济发展、城乡建设和生态文化建设，纳入生态</w:t>
      </w:r>
      <w:r>
        <w:rPr>
          <w:rFonts w:hint="eastAsia" w:ascii="Times New Roman" w:hAnsi="Times New Roman" w:eastAsia="仿宋_GB2312" w:cs="Times New Roman"/>
          <w:sz w:val="30"/>
          <w:szCs w:val="30"/>
        </w:rPr>
        <w:t>-</w:t>
      </w:r>
      <w:r>
        <w:rPr>
          <w:rFonts w:ascii="Times New Roman" w:hAnsi="Times New Roman" w:eastAsia="仿宋_GB2312" w:cs="Times New Roman"/>
          <w:sz w:val="30"/>
          <w:szCs w:val="30"/>
        </w:rPr>
        <w:t>经济</w:t>
      </w:r>
      <w:r>
        <w:rPr>
          <w:rFonts w:hint="eastAsia" w:ascii="Times New Roman" w:hAnsi="Times New Roman" w:eastAsia="仿宋_GB2312" w:cs="Times New Roman"/>
          <w:sz w:val="30"/>
          <w:szCs w:val="30"/>
        </w:rPr>
        <w:t>-</w:t>
      </w:r>
      <w:r>
        <w:rPr>
          <w:rFonts w:ascii="Times New Roman" w:hAnsi="Times New Roman" w:eastAsia="仿宋_GB2312" w:cs="Times New Roman"/>
          <w:sz w:val="30"/>
          <w:szCs w:val="30"/>
        </w:rPr>
        <w:t>社会复合系统，进行整体优化设计，以实现全面协调发展。从</w:t>
      </w:r>
      <w:r>
        <w:rPr>
          <w:rFonts w:hint="eastAsia" w:ascii="Times New Roman" w:hAnsi="Times New Roman" w:eastAsia="仿宋_GB2312" w:cs="Times New Roman"/>
          <w:sz w:val="30"/>
          <w:szCs w:val="30"/>
        </w:rPr>
        <w:t>洛隆</w:t>
      </w:r>
      <w:r>
        <w:rPr>
          <w:rFonts w:ascii="Times New Roman" w:hAnsi="Times New Roman" w:eastAsia="仿宋_GB2312" w:cs="Times New Roman"/>
          <w:sz w:val="30"/>
          <w:szCs w:val="30"/>
        </w:rPr>
        <w:t>县发展全局和广大人民的根本利益出发，坚持统筹兼顾，合理布局，协调近期和长远、局部与整体、少数与多数的利益，既满足当代人的发展需求，又维护后代人的发展权益；既全面统筹、积极推动全局深层次的转变，又循序渐进、集中力量优先抓好重点区域、重点领域的保护和发展，促进城乡间、区域间公平和谐，促进整个社会协调发展。</w:t>
      </w:r>
    </w:p>
    <w:p w14:paraId="11EC01B7">
      <w:pPr>
        <w:adjustRightInd w:val="0"/>
        <w:snapToGrid w:val="0"/>
        <w:spacing w:line="500" w:lineRule="exact"/>
        <w:ind w:firstLine="600" w:firstLineChars="200"/>
        <w:rPr>
          <w:rFonts w:ascii="Times New Roman" w:hAnsi="Times New Roman" w:eastAsia="仿宋_GB2312" w:cs="Times New Roman"/>
          <w:sz w:val="32"/>
          <w:szCs w:val="32"/>
        </w:rPr>
      </w:pPr>
      <w:r>
        <w:rPr>
          <w:rFonts w:ascii="Times New Roman" w:hAnsi="Times New Roman" w:eastAsia="仿宋_GB2312" w:cs="Times New Roman"/>
          <w:b/>
          <w:bCs/>
          <w:sz w:val="30"/>
          <w:szCs w:val="30"/>
        </w:rPr>
        <w:t>突出重点、分类推进的原则。</w:t>
      </w:r>
      <w:r>
        <w:rPr>
          <w:rFonts w:hint="eastAsia" w:ascii="Times New Roman" w:hAnsi="Times New Roman" w:eastAsia="仿宋_GB2312" w:cs="Times New Roman"/>
          <w:sz w:val="30"/>
          <w:szCs w:val="30"/>
        </w:rPr>
        <w:t>洛隆</w:t>
      </w:r>
      <w:r>
        <w:rPr>
          <w:rFonts w:ascii="Times New Roman" w:hAnsi="Times New Roman" w:eastAsia="仿宋_GB2312" w:cs="Times New Roman"/>
          <w:sz w:val="30"/>
          <w:szCs w:val="30"/>
        </w:rPr>
        <w:t>县西藏自治区生态文明建设示范县要抓重点、攻难点、突亮点、建示范，对方向明确又立即可行的，加快推进，争取突破；对认识不深入但又必须推进的，加强调研，先行试点；对涉及面广、基础薄弱，需上级党委、政府顶层设计的，积极研究，大胆探索。</w:t>
      </w:r>
    </w:p>
    <w:p w14:paraId="260A8F2A">
      <w:pPr>
        <w:adjustRightInd w:val="0"/>
        <w:snapToGrid w:val="0"/>
        <w:spacing w:line="500"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b/>
          <w:bCs/>
          <w:sz w:val="30"/>
          <w:szCs w:val="30"/>
        </w:rPr>
        <w:t>因地制宜，彰显特色的原则。</w:t>
      </w:r>
      <w:r>
        <w:rPr>
          <w:rFonts w:ascii="Times New Roman" w:hAnsi="Times New Roman" w:eastAsia="仿宋_GB2312" w:cs="Times New Roman"/>
          <w:sz w:val="30"/>
          <w:szCs w:val="30"/>
        </w:rPr>
        <w:t>科学分析</w:t>
      </w:r>
      <w:r>
        <w:rPr>
          <w:rFonts w:hint="eastAsia" w:ascii="Times New Roman" w:hAnsi="Times New Roman" w:eastAsia="仿宋_GB2312" w:cs="Times New Roman"/>
          <w:sz w:val="30"/>
          <w:szCs w:val="30"/>
        </w:rPr>
        <w:t>洛隆</w:t>
      </w:r>
      <w:r>
        <w:rPr>
          <w:rFonts w:ascii="Times New Roman" w:hAnsi="Times New Roman" w:eastAsia="仿宋_GB2312" w:cs="Times New Roman"/>
          <w:sz w:val="30"/>
          <w:szCs w:val="30"/>
        </w:rPr>
        <w:t>县生态文明建设的基础和条件、面临的机遇和挑战，与</w:t>
      </w:r>
      <w:r>
        <w:rPr>
          <w:rFonts w:hint="eastAsia" w:ascii="Times New Roman" w:hAnsi="Times New Roman" w:eastAsia="仿宋_GB2312" w:cs="Times New Roman"/>
          <w:sz w:val="30"/>
          <w:szCs w:val="30"/>
        </w:rPr>
        <w:t>洛隆</w:t>
      </w:r>
      <w:r>
        <w:rPr>
          <w:rFonts w:ascii="Times New Roman" w:hAnsi="Times New Roman" w:eastAsia="仿宋_GB2312" w:cs="Times New Roman"/>
          <w:sz w:val="30"/>
          <w:szCs w:val="30"/>
        </w:rPr>
        <w:t>县的生态环境、资源禀赋、人文特征、经济基础紧密结合，针对地域特征量体裁衣，充分彰显</w:t>
      </w:r>
      <w:r>
        <w:rPr>
          <w:rFonts w:hint="eastAsia" w:ascii="Times New Roman" w:hAnsi="Times New Roman" w:eastAsia="仿宋_GB2312" w:cs="Times New Roman"/>
          <w:sz w:val="30"/>
          <w:szCs w:val="30"/>
        </w:rPr>
        <w:t>洛隆</w:t>
      </w:r>
      <w:r>
        <w:rPr>
          <w:rFonts w:ascii="Times New Roman" w:hAnsi="Times New Roman" w:eastAsia="仿宋_GB2312" w:cs="Times New Roman"/>
          <w:sz w:val="30"/>
          <w:szCs w:val="30"/>
        </w:rPr>
        <w:t>县的区域特色，有所为有所不为，提出针对</w:t>
      </w:r>
      <w:r>
        <w:rPr>
          <w:rFonts w:hint="eastAsia" w:ascii="Times New Roman" w:hAnsi="Times New Roman" w:eastAsia="仿宋_GB2312" w:cs="Times New Roman"/>
          <w:sz w:val="30"/>
          <w:szCs w:val="30"/>
        </w:rPr>
        <w:t>洛隆</w:t>
      </w:r>
      <w:r>
        <w:rPr>
          <w:rFonts w:ascii="Times New Roman" w:hAnsi="Times New Roman" w:eastAsia="仿宋_GB2312" w:cs="Times New Roman"/>
          <w:sz w:val="30"/>
          <w:szCs w:val="30"/>
        </w:rPr>
        <w:t>县特色的对策措施，科学指导</w:t>
      </w:r>
      <w:r>
        <w:rPr>
          <w:rFonts w:hint="eastAsia" w:ascii="Times New Roman" w:hAnsi="Times New Roman" w:eastAsia="仿宋_GB2312" w:cs="Times New Roman"/>
          <w:sz w:val="30"/>
          <w:szCs w:val="30"/>
        </w:rPr>
        <w:t>洛隆</w:t>
      </w:r>
      <w:r>
        <w:rPr>
          <w:rFonts w:ascii="Times New Roman" w:hAnsi="Times New Roman" w:eastAsia="仿宋_GB2312" w:cs="Times New Roman"/>
          <w:sz w:val="30"/>
          <w:szCs w:val="30"/>
        </w:rPr>
        <w:t>县的生态文明建设。</w:t>
      </w:r>
      <w:r>
        <w:rPr>
          <w:rFonts w:hint="eastAsia" w:ascii="Times New Roman" w:hAnsi="Times New Roman" w:eastAsia="仿宋_GB2312" w:cs="Times New Roman"/>
          <w:sz w:val="30"/>
          <w:szCs w:val="30"/>
        </w:rPr>
        <w:t>洛隆</w:t>
      </w:r>
      <w:r>
        <w:rPr>
          <w:rFonts w:ascii="Times New Roman" w:hAnsi="Times New Roman" w:eastAsia="仿宋_GB2312" w:cs="Times New Roman"/>
          <w:sz w:val="30"/>
          <w:szCs w:val="30"/>
        </w:rPr>
        <w:t>县生态系统基本保持在原生状态，依托</w:t>
      </w:r>
      <w:r>
        <w:rPr>
          <w:rFonts w:hint="eastAsia" w:ascii="Times New Roman" w:hAnsi="Times New Roman" w:eastAsia="仿宋_GB2312" w:cs="Times New Roman"/>
          <w:sz w:val="30"/>
          <w:szCs w:val="30"/>
        </w:rPr>
        <w:t>高原</w:t>
      </w:r>
      <w:r>
        <w:rPr>
          <w:rFonts w:ascii="Times New Roman" w:hAnsi="Times New Roman" w:eastAsia="仿宋_GB2312" w:cs="Times New Roman"/>
          <w:sz w:val="30"/>
          <w:szCs w:val="30"/>
        </w:rPr>
        <w:t>资源和环境，发展特色经济，促进产业生态化和产品质量层次提升，不断推出环境标志产品，可将生态环境优势转化成经济优势。</w:t>
      </w:r>
    </w:p>
    <w:p w14:paraId="7E23153F">
      <w:pPr>
        <w:adjustRightInd w:val="0"/>
        <w:snapToGrid w:val="0"/>
        <w:spacing w:line="500"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b/>
          <w:bCs/>
          <w:sz w:val="30"/>
          <w:szCs w:val="30"/>
        </w:rPr>
        <w:t>以人为本、民生为先的原则。</w:t>
      </w:r>
      <w:r>
        <w:rPr>
          <w:rFonts w:ascii="Times New Roman" w:hAnsi="Times New Roman" w:eastAsia="仿宋_GB2312" w:cs="Times New Roman"/>
          <w:sz w:val="30"/>
          <w:szCs w:val="30"/>
        </w:rPr>
        <w:t>始终把以人为本作为生态文明建设的出发点和落脚点，切实解决损害群众健康的突出环境问题，努力提供更多优质生态产品，打造美丽、宜居、幸福家园，最大限度地满足人民群众日益增长的对优美生态环境需求，让人民群众共享生态文明建设成果。</w:t>
      </w:r>
    </w:p>
    <w:p w14:paraId="00275A88">
      <w:pPr>
        <w:adjustRightInd w:val="0"/>
        <w:snapToGrid w:val="0"/>
        <w:spacing w:line="500" w:lineRule="exact"/>
        <w:ind w:firstLine="600" w:firstLineChars="200"/>
        <w:rPr>
          <w:rFonts w:ascii="Times New Roman" w:hAnsi="Times New Roman" w:eastAsia="黑体" w:cs="Times New Roman"/>
          <w:bCs/>
          <w:sz w:val="32"/>
          <w:szCs w:val="32"/>
        </w:rPr>
      </w:pPr>
      <w:bookmarkStart w:id="44" w:name="_Toc522718954"/>
      <w:bookmarkStart w:id="45" w:name="_Toc514667644"/>
      <w:bookmarkStart w:id="46" w:name="_Toc514917826"/>
      <w:bookmarkStart w:id="47" w:name="_Toc514668318"/>
      <w:r>
        <w:rPr>
          <w:rFonts w:ascii="Times New Roman" w:hAnsi="Times New Roman" w:eastAsia="仿宋_GB2312" w:cs="Times New Roman"/>
          <w:b/>
          <w:bCs/>
          <w:sz w:val="30"/>
          <w:szCs w:val="30"/>
        </w:rPr>
        <w:t>党政主导、社会参与</w:t>
      </w:r>
      <w:bookmarkEnd w:id="44"/>
      <w:bookmarkEnd w:id="45"/>
      <w:bookmarkEnd w:id="46"/>
      <w:bookmarkEnd w:id="47"/>
      <w:r>
        <w:rPr>
          <w:rFonts w:ascii="Times New Roman" w:hAnsi="Times New Roman" w:eastAsia="仿宋_GB2312" w:cs="Times New Roman"/>
          <w:b/>
          <w:bCs/>
          <w:sz w:val="30"/>
          <w:szCs w:val="30"/>
        </w:rPr>
        <w:t>的原则。</w:t>
      </w:r>
      <w:r>
        <w:rPr>
          <w:rFonts w:ascii="Times New Roman" w:hAnsi="Times New Roman" w:eastAsia="仿宋_GB2312" w:cs="Times New Roman"/>
          <w:sz w:val="30"/>
          <w:szCs w:val="30"/>
        </w:rPr>
        <w:t>各级党委和政府要坚决扛起生态文明建设和生态环境保护的政治责任，把生态文明建设示范县建设作为推进</w:t>
      </w:r>
      <w:r>
        <w:rPr>
          <w:rFonts w:hint="eastAsia" w:ascii="Times New Roman" w:hAnsi="Times New Roman" w:eastAsia="仿宋_GB2312" w:cs="Times New Roman"/>
          <w:sz w:val="30"/>
          <w:szCs w:val="30"/>
        </w:rPr>
        <w:t>洛隆</w:t>
      </w:r>
      <w:r>
        <w:rPr>
          <w:rFonts w:ascii="Times New Roman" w:hAnsi="Times New Roman" w:eastAsia="仿宋_GB2312" w:cs="Times New Roman"/>
          <w:sz w:val="30"/>
          <w:szCs w:val="30"/>
        </w:rPr>
        <w:t>县生态文明建设的重要载体，放到更加突出的位置，严格实行党政同责、一岗双责，切实发挥组织领导、规划引领、资金引导的作用。加强生态文明宣传教育，强化企业生态意识和社会责任意识，倡导简约适度、绿色低碳的生活方式和消费模式，引导全民共建共享，形成生态文明建设的强大合力，营造全社会共同参与生态文明建设的良好氛围。</w:t>
      </w:r>
      <w:bookmarkStart w:id="48" w:name="_Toc17985"/>
      <w:bookmarkStart w:id="49" w:name="_Toc528335020"/>
      <w:bookmarkStart w:id="50" w:name="_Toc12061"/>
    </w:p>
    <w:p w14:paraId="616035A8">
      <w:pPr>
        <w:spacing w:line="580" w:lineRule="exact"/>
        <w:jc w:val="center"/>
        <w:outlineLvl w:val="1"/>
        <w:rPr>
          <w:rFonts w:ascii="Times New Roman" w:hAnsi="Times New Roman" w:eastAsia="黑体" w:cs="Times New Roman"/>
          <w:bCs/>
          <w:sz w:val="32"/>
          <w:szCs w:val="32"/>
        </w:rPr>
      </w:pPr>
      <w:r>
        <w:rPr>
          <w:rFonts w:ascii="Times New Roman" w:hAnsi="Times New Roman" w:eastAsia="黑体" w:cs="Times New Roman"/>
          <w:bCs/>
          <w:sz w:val="32"/>
          <w:szCs w:val="32"/>
        </w:rPr>
        <w:t>第三节  战略定位</w:t>
      </w:r>
      <w:bookmarkEnd w:id="48"/>
      <w:bookmarkEnd w:id="49"/>
      <w:bookmarkEnd w:id="50"/>
    </w:p>
    <w:p w14:paraId="42F75462">
      <w:pPr>
        <w:adjustRightInd w:val="0"/>
        <w:snapToGrid w:val="0"/>
        <w:spacing w:line="500" w:lineRule="exact"/>
        <w:ind w:firstLine="600" w:firstLineChars="200"/>
        <w:rPr>
          <w:rFonts w:ascii="Times New Roman" w:hAnsi="Times New Roman" w:eastAsia="仿宋_GB2312" w:cs="Times New Roman"/>
          <w:sz w:val="30"/>
          <w:szCs w:val="30"/>
          <w:lang w:val="zh-CN"/>
        </w:rPr>
      </w:pPr>
      <w:bookmarkStart w:id="51" w:name="_Toc28014"/>
      <w:r>
        <w:rPr>
          <w:rFonts w:ascii="Times New Roman" w:hAnsi="Times New Roman" w:eastAsia="仿宋_GB2312" w:cs="Times New Roman"/>
          <w:sz w:val="30"/>
          <w:szCs w:val="30"/>
          <w:lang w:val="zh-CN"/>
        </w:rPr>
        <w:t>立足实际、着眼长远，明确</w:t>
      </w:r>
      <w:r>
        <w:rPr>
          <w:rFonts w:hint="eastAsia" w:ascii="Times New Roman" w:hAnsi="Times New Roman" w:eastAsia="仿宋_GB2312" w:cs="Times New Roman"/>
          <w:sz w:val="30"/>
          <w:szCs w:val="30"/>
          <w:lang w:val="zh-CN"/>
        </w:rPr>
        <w:t>打造西藏优质生态绿色农产品供给地、建设茶马古道原生态文化体验旅游目的地、建成怒江流域重要生态保护地</w:t>
      </w:r>
      <w:r>
        <w:rPr>
          <w:rFonts w:ascii="Times New Roman" w:hAnsi="Times New Roman" w:eastAsia="仿宋_GB2312" w:cs="Times New Roman"/>
          <w:sz w:val="30"/>
          <w:szCs w:val="30"/>
          <w:lang w:val="zh-CN"/>
        </w:rPr>
        <w:t>三大发展定位，确定</w:t>
      </w:r>
      <w:r>
        <w:rPr>
          <w:rFonts w:hint="eastAsia" w:ascii="Times New Roman" w:hAnsi="Times New Roman" w:eastAsia="仿宋_GB2312" w:cs="Times New Roman"/>
          <w:sz w:val="30"/>
          <w:szCs w:val="30"/>
          <w:lang w:val="zh-CN"/>
        </w:rPr>
        <w:t>洛隆</w:t>
      </w:r>
      <w:r>
        <w:rPr>
          <w:rFonts w:ascii="Times New Roman" w:hAnsi="Times New Roman" w:eastAsia="仿宋_GB2312" w:cs="Times New Roman"/>
          <w:sz w:val="30"/>
          <w:szCs w:val="30"/>
          <w:lang w:val="zh-CN"/>
        </w:rPr>
        <w:t>县</w:t>
      </w:r>
      <w:r>
        <w:rPr>
          <w:rFonts w:ascii="Times New Roman" w:hAnsi="Times New Roman" w:eastAsia="仿宋_GB2312" w:cs="Times New Roman"/>
          <w:sz w:val="30"/>
          <w:szCs w:val="30"/>
        </w:rPr>
        <w:t>西藏</w:t>
      </w:r>
      <w:r>
        <w:rPr>
          <w:rFonts w:ascii="Times New Roman" w:hAnsi="Times New Roman" w:eastAsia="仿宋_GB2312" w:cs="Times New Roman"/>
          <w:sz w:val="30"/>
          <w:szCs w:val="30"/>
          <w:lang w:val="zh-CN"/>
        </w:rPr>
        <w:t>自治区生态文明建设示范县规划战略定位为：建设</w:t>
      </w:r>
      <w:r>
        <w:rPr>
          <w:rFonts w:hint="eastAsia" w:ascii="Times New Roman" w:hAnsi="Times New Roman" w:eastAsia="仿宋_GB2312" w:cs="Times New Roman"/>
          <w:sz w:val="30"/>
          <w:szCs w:val="30"/>
          <w:lang w:val="zh-CN"/>
        </w:rPr>
        <w:t>藏东农牧业大县</w:t>
      </w:r>
      <w:r>
        <w:rPr>
          <w:rFonts w:ascii="Times New Roman" w:hAnsi="Times New Roman" w:eastAsia="仿宋_GB2312" w:cs="Times New Roman"/>
          <w:sz w:val="30"/>
          <w:szCs w:val="30"/>
          <w:lang w:val="zh-CN"/>
        </w:rPr>
        <w:t>生态文明建设样板县。</w:t>
      </w:r>
    </w:p>
    <w:p w14:paraId="256D1217">
      <w:pPr>
        <w:adjustRightInd w:val="0"/>
        <w:snapToGrid w:val="0"/>
        <w:spacing w:line="540" w:lineRule="exact"/>
        <w:ind w:firstLine="600" w:firstLineChars="200"/>
        <w:rPr>
          <w:rFonts w:ascii="Times New Roman" w:hAnsi="Times New Roman" w:eastAsia="仿宋_GB2312" w:cs="Times New Roman"/>
          <w:sz w:val="30"/>
          <w:szCs w:val="30"/>
          <w:lang w:val="zh-CN"/>
        </w:rPr>
      </w:pPr>
      <w:r>
        <w:rPr>
          <w:rFonts w:ascii="Times New Roman" w:hAnsi="Times New Roman" w:eastAsia="仿宋_GB2312" w:cs="Times New Roman"/>
          <w:b/>
          <w:sz w:val="30"/>
          <w:szCs w:val="30"/>
          <w:lang w:val="zh-CN" w:bidi="en-US"/>
        </w:rPr>
        <w:t>——</w:t>
      </w:r>
      <w:r>
        <w:rPr>
          <w:rFonts w:hint="eastAsia" w:ascii="Times New Roman" w:hAnsi="Times New Roman" w:eastAsia="仿宋_GB2312" w:cs="Times New Roman"/>
          <w:b/>
          <w:sz w:val="30"/>
          <w:szCs w:val="30"/>
          <w:lang w:val="zh-CN" w:bidi="en-US"/>
        </w:rPr>
        <w:t>打造西藏优质生态绿色农产品供给地</w:t>
      </w:r>
      <w:r>
        <w:rPr>
          <w:rFonts w:ascii="Times New Roman" w:hAnsi="Times New Roman" w:eastAsia="仿宋_GB2312" w:cs="Times New Roman"/>
          <w:b/>
          <w:sz w:val="30"/>
          <w:szCs w:val="30"/>
          <w:lang w:val="zh-CN" w:bidi="en-US"/>
        </w:rPr>
        <w:t>。</w:t>
      </w:r>
      <w:r>
        <w:rPr>
          <w:rFonts w:hint="eastAsia" w:ascii="Times New Roman" w:hAnsi="Times New Roman" w:eastAsia="仿宋_GB2312" w:cs="Times New Roman"/>
          <w:sz w:val="30"/>
          <w:szCs w:val="30"/>
          <w:lang w:val="zh-CN"/>
        </w:rPr>
        <w:t>牢固树立绿色发展理念，主动融入全市“7大种植基地、5大养殖基地”农业产业体系，集中要素保障，突出优质青稞、油菜、生猪、奶牛、虫草等主导产品优势，以种植加工销售为一体的产业链建设为引领，大力实施“基地+龙头企业+科技+品牌”提升行动，强化科技支撑和品牌培育，全力打造西藏生态绿色优质农产品供给地。</w:t>
      </w:r>
    </w:p>
    <w:p w14:paraId="645BB1B4">
      <w:pPr>
        <w:adjustRightInd w:val="0"/>
        <w:snapToGrid w:val="0"/>
        <w:spacing w:line="540" w:lineRule="exact"/>
        <w:ind w:firstLine="600" w:firstLineChars="200"/>
        <w:rPr>
          <w:rFonts w:ascii="Times New Roman" w:hAnsi="Times New Roman" w:eastAsia="仿宋_GB2312" w:cs="Times New Roman"/>
          <w:sz w:val="30"/>
          <w:szCs w:val="30"/>
          <w:lang w:val="zh-CN"/>
        </w:rPr>
      </w:pPr>
      <w:r>
        <w:rPr>
          <w:rFonts w:ascii="Times New Roman" w:hAnsi="Times New Roman" w:eastAsia="仿宋_GB2312" w:cs="Times New Roman"/>
          <w:b/>
          <w:sz w:val="30"/>
          <w:szCs w:val="30"/>
          <w:lang w:val="zh-CN" w:bidi="en-US"/>
        </w:rPr>
        <w:t>——建设</w:t>
      </w:r>
      <w:r>
        <w:rPr>
          <w:rFonts w:hint="eastAsia" w:ascii="Times New Roman" w:hAnsi="Times New Roman" w:eastAsia="仿宋_GB2312" w:cs="Times New Roman"/>
          <w:b/>
          <w:sz w:val="30"/>
          <w:szCs w:val="30"/>
          <w:lang w:val="zh-CN" w:bidi="en-US"/>
        </w:rPr>
        <w:t>茶马古道原生态文化体验旅游目的地</w:t>
      </w:r>
      <w:r>
        <w:rPr>
          <w:rFonts w:ascii="Times New Roman" w:hAnsi="Times New Roman" w:eastAsia="仿宋_GB2312" w:cs="Times New Roman"/>
          <w:b/>
          <w:sz w:val="30"/>
          <w:szCs w:val="30"/>
          <w:lang w:val="zh-CN" w:bidi="en-US"/>
        </w:rPr>
        <w:t>。</w:t>
      </w:r>
      <w:r>
        <w:rPr>
          <w:rFonts w:hint="eastAsia" w:ascii="Times New Roman" w:hAnsi="Times New Roman" w:eastAsia="仿宋_GB2312" w:cs="Times New Roman"/>
          <w:sz w:val="30"/>
          <w:szCs w:val="30"/>
          <w:lang w:val="zh-CN"/>
        </w:rPr>
        <w:t>携手推动藏滇、藏川、藏青通道旅游经济共同体建设，打造大香格里拉・茶马古道文化旅游核心体验区，依托洛隆县茶马古道、卓玛朗措、巴堆八美自然风景区、怒江河谷、湖泊、森林等自然景观和硕督历史文化名镇、洛宗遗址、甲义扎嘎·摩崖石刻、朗拉寺等人文景观资源，深入挖掘民俗文化、宗教文化、农耕文化、游牧文化、茶马文化、红色文化、藏汉交融文化和自然生态文化资源，</w:t>
      </w:r>
      <w:r>
        <w:rPr>
          <w:rFonts w:ascii="Times New Roman" w:hAnsi="Times New Roman" w:eastAsia="仿宋_GB2312" w:cs="Times New Roman"/>
          <w:sz w:val="30"/>
          <w:szCs w:val="30"/>
          <w:lang w:val="zh-CN"/>
        </w:rPr>
        <w:t>努力建设西藏原生态特色文化旅游目的地。</w:t>
      </w:r>
      <w:r>
        <w:rPr>
          <w:rFonts w:hint="eastAsia" w:ascii="Times New Roman" w:hAnsi="Times New Roman" w:eastAsia="仿宋_GB2312" w:cs="Times New Roman"/>
          <w:sz w:val="30"/>
          <w:szCs w:val="30"/>
          <w:lang w:val="zh-CN"/>
        </w:rPr>
        <w:t xml:space="preserve"> </w:t>
      </w:r>
    </w:p>
    <w:p w14:paraId="3209B7B3">
      <w:pPr>
        <w:adjustRightInd w:val="0"/>
        <w:snapToGrid w:val="0"/>
        <w:spacing w:line="540" w:lineRule="exact"/>
        <w:ind w:firstLine="600" w:firstLineChars="200"/>
        <w:rPr>
          <w:lang w:val="zh-CN"/>
        </w:rPr>
      </w:pPr>
      <w:r>
        <w:rPr>
          <w:rFonts w:ascii="Times New Roman" w:hAnsi="Times New Roman" w:eastAsia="仿宋_GB2312" w:cs="Times New Roman"/>
          <w:b/>
          <w:sz w:val="30"/>
          <w:szCs w:val="30"/>
          <w:lang w:val="zh-CN" w:bidi="en-US"/>
        </w:rPr>
        <w:t>——</w:t>
      </w:r>
      <w:r>
        <w:rPr>
          <w:rFonts w:hint="eastAsia" w:ascii="Times New Roman" w:hAnsi="Times New Roman" w:eastAsia="仿宋_GB2312" w:cs="Times New Roman"/>
          <w:b/>
          <w:sz w:val="30"/>
          <w:szCs w:val="30"/>
          <w:lang w:val="zh-CN" w:bidi="en-US"/>
        </w:rPr>
        <w:t>建成怒江流域重要生态保护地。</w:t>
      </w:r>
      <w:r>
        <w:rPr>
          <w:rFonts w:hint="eastAsia" w:ascii="Times New Roman" w:hAnsi="Times New Roman" w:eastAsia="仿宋_GB2312" w:cs="Times New Roman"/>
          <w:sz w:val="30"/>
          <w:szCs w:val="30"/>
          <w:lang w:val="zh-CN"/>
        </w:rPr>
        <w:t>洛隆县是三江流域生态安全屏障的重要组成部分。把生态文明建设放在更加突出的位置，实施好怒江流域生态保护与修复，加强造林绿化、退耕还林、天然林保护，推进生态乡村示范带建设和人居环境整治，持续推进以电代薪、以气代薪工作，加强污染防治和综合治理，大力推行绿色、循环、低碳的生产方式，倡导节约、健康、环保的生活方式，积极创建国家园林城市。</w:t>
      </w:r>
    </w:p>
    <w:p w14:paraId="706D3360">
      <w:pPr>
        <w:spacing w:line="580" w:lineRule="exact"/>
        <w:jc w:val="center"/>
        <w:outlineLvl w:val="1"/>
        <w:rPr>
          <w:rFonts w:ascii="Times New Roman" w:hAnsi="Times New Roman" w:eastAsia="黑体" w:cs="Times New Roman"/>
          <w:bCs/>
          <w:sz w:val="32"/>
          <w:szCs w:val="32"/>
        </w:rPr>
      </w:pPr>
      <w:bookmarkStart w:id="52" w:name="_Toc13900"/>
      <w:bookmarkStart w:id="53" w:name="_Toc528335021"/>
      <w:bookmarkStart w:id="54" w:name="_Toc32476"/>
      <w:r>
        <w:rPr>
          <w:rFonts w:ascii="Times New Roman" w:hAnsi="Times New Roman" w:eastAsia="黑体" w:cs="Times New Roman"/>
          <w:bCs/>
          <w:sz w:val="32"/>
          <w:szCs w:val="32"/>
        </w:rPr>
        <w:t>第四节  规划目标</w:t>
      </w:r>
      <w:bookmarkEnd w:id="52"/>
      <w:bookmarkEnd w:id="53"/>
      <w:bookmarkEnd w:id="54"/>
    </w:p>
    <w:p w14:paraId="2858E7D5">
      <w:pPr>
        <w:spacing w:line="580" w:lineRule="exact"/>
        <w:ind w:firstLine="600" w:firstLineChars="200"/>
        <w:outlineLvl w:val="2"/>
        <w:rPr>
          <w:rFonts w:ascii="Times New Roman" w:hAnsi="Times New Roman" w:eastAsia="楷体_GB2312" w:cs="Times New Roman"/>
          <w:b/>
          <w:bCs/>
          <w:sz w:val="30"/>
          <w:szCs w:val="30"/>
          <w:lang w:val="zh-CN"/>
        </w:rPr>
      </w:pPr>
      <w:bookmarkStart w:id="55" w:name="_Toc522718957"/>
      <w:bookmarkStart w:id="56" w:name="_Toc524444982"/>
      <w:r>
        <w:rPr>
          <w:rFonts w:hint="eastAsia" w:ascii="Times New Roman" w:hAnsi="Times New Roman" w:eastAsia="楷体_GB2312" w:cs="Times New Roman"/>
          <w:b/>
          <w:bCs/>
          <w:sz w:val="30"/>
          <w:szCs w:val="30"/>
          <w:lang w:val="zh-CN"/>
        </w:rPr>
        <w:t>（一）总体目标</w:t>
      </w:r>
      <w:bookmarkEnd w:id="55"/>
      <w:bookmarkEnd w:id="56"/>
    </w:p>
    <w:bookmarkEnd w:id="51"/>
    <w:p w14:paraId="75C296E4">
      <w:pPr>
        <w:adjustRightInd w:val="0"/>
        <w:snapToGrid w:val="0"/>
        <w:spacing w:line="500" w:lineRule="exact"/>
        <w:ind w:firstLine="600" w:firstLineChars="200"/>
        <w:rPr>
          <w:rFonts w:ascii="Times New Roman" w:hAnsi="Times New Roman" w:eastAsia="仿宋_GB2312" w:cs="Times New Roman"/>
          <w:sz w:val="30"/>
          <w:szCs w:val="30"/>
          <w:lang w:val="zh-CN"/>
        </w:rPr>
      </w:pPr>
      <w:r>
        <w:rPr>
          <w:rFonts w:ascii="Times New Roman" w:hAnsi="Times New Roman" w:eastAsia="仿宋_GB2312" w:cs="Times New Roman"/>
          <w:sz w:val="30"/>
          <w:szCs w:val="30"/>
          <w:lang w:val="zh-CN"/>
        </w:rPr>
        <w:t>充分发挥</w:t>
      </w:r>
      <w:r>
        <w:rPr>
          <w:rFonts w:hint="eastAsia" w:ascii="Times New Roman" w:hAnsi="Times New Roman" w:eastAsia="仿宋_GB2312" w:cs="Times New Roman"/>
          <w:sz w:val="30"/>
          <w:szCs w:val="30"/>
          <w:lang w:val="zh-CN"/>
        </w:rPr>
        <w:t>洛隆</w:t>
      </w:r>
      <w:r>
        <w:rPr>
          <w:rFonts w:ascii="Times New Roman" w:hAnsi="Times New Roman" w:eastAsia="仿宋_GB2312" w:cs="Times New Roman"/>
          <w:sz w:val="30"/>
          <w:szCs w:val="30"/>
          <w:lang w:val="zh-CN"/>
        </w:rPr>
        <w:t>区位优势、产业优势、生态优势和人文优势，全面建设西藏自治区生态文明建设示范</w:t>
      </w:r>
      <w:r>
        <w:rPr>
          <w:rFonts w:hint="eastAsia" w:ascii="Times New Roman" w:hAnsi="Times New Roman" w:eastAsia="仿宋_GB2312" w:cs="Times New Roman"/>
          <w:sz w:val="30"/>
          <w:szCs w:val="30"/>
          <w:lang w:val="zh-CN"/>
        </w:rPr>
        <w:t>县</w:t>
      </w:r>
      <w:r>
        <w:rPr>
          <w:rFonts w:ascii="Times New Roman" w:hAnsi="Times New Roman" w:eastAsia="仿宋_GB2312" w:cs="Times New Roman"/>
          <w:sz w:val="30"/>
          <w:szCs w:val="30"/>
          <w:lang w:val="zh-CN"/>
        </w:rPr>
        <w:t>，着力</w:t>
      </w:r>
      <w:r>
        <w:rPr>
          <w:rFonts w:hint="eastAsia" w:ascii="Times New Roman" w:hAnsi="Times New Roman" w:eastAsia="仿宋_GB2312" w:cs="Times New Roman"/>
          <w:sz w:val="30"/>
          <w:szCs w:val="30"/>
          <w:lang w:val="zh-CN"/>
        </w:rPr>
        <w:t>落实</w:t>
      </w:r>
      <w:r>
        <w:rPr>
          <w:rFonts w:ascii="Times New Roman" w:hAnsi="Times New Roman" w:eastAsia="仿宋_GB2312" w:cs="Times New Roman"/>
          <w:sz w:val="30"/>
          <w:szCs w:val="30"/>
          <w:lang w:val="zh-CN"/>
        </w:rPr>
        <w:t>和完善生态文明体制机制，优化空间发展格局，持续改善县域生态环境质量，构建以生态农</w:t>
      </w:r>
      <w:r>
        <w:rPr>
          <w:rFonts w:hint="eastAsia" w:ascii="Times New Roman" w:hAnsi="Times New Roman" w:eastAsia="仿宋_GB2312" w:cs="Times New Roman"/>
          <w:sz w:val="30"/>
          <w:szCs w:val="30"/>
        </w:rPr>
        <w:t>牧</w:t>
      </w:r>
      <w:r>
        <w:rPr>
          <w:rFonts w:ascii="Times New Roman" w:hAnsi="Times New Roman" w:eastAsia="仿宋_GB2312" w:cs="Times New Roman"/>
          <w:sz w:val="30"/>
          <w:szCs w:val="30"/>
          <w:lang w:val="zh-CN"/>
        </w:rPr>
        <w:t>业、</w:t>
      </w:r>
      <w:r>
        <w:rPr>
          <w:rFonts w:hint="eastAsia" w:ascii="Times New Roman" w:hAnsi="Times New Roman" w:eastAsia="仿宋_GB2312" w:cs="Times New Roman"/>
          <w:sz w:val="30"/>
          <w:szCs w:val="30"/>
        </w:rPr>
        <w:t>绿色</w:t>
      </w:r>
      <w:r>
        <w:rPr>
          <w:rFonts w:ascii="Times New Roman" w:hAnsi="Times New Roman" w:eastAsia="仿宋_GB2312" w:cs="Times New Roman"/>
          <w:sz w:val="30"/>
          <w:szCs w:val="30"/>
          <w:lang w:val="zh-CN"/>
        </w:rPr>
        <w:t>工业、生态文化旅游</w:t>
      </w:r>
      <w:r>
        <w:rPr>
          <w:rFonts w:hint="eastAsia" w:ascii="Times New Roman" w:hAnsi="Times New Roman" w:eastAsia="仿宋_GB2312" w:cs="Times New Roman"/>
          <w:sz w:val="30"/>
          <w:szCs w:val="30"/>
          <w:lang w:val="zh-CN"/>
        </w:rPr>
        <w:t>、</w:t>
      </w:r>
      <w:r>
        <w:rPr>
          <w:rFonts w:hint="eastAsia" w:ascii="Times New Roman" w:hAnsi="Times New Roman" w:eastAsia="仿宋_GB2312" w:cs="Times New Roman"/>
          <w:sz w:val="30"/>
          <w:szCs w:val="30"/>
        </w:rPr>
        <w:t>现代服务业</w:t>
      </w:r>
      <w:r>
        <w:rPr>
          <w:rFonts w:ascii="Times New Roman" w:hAnsi="Times New Roman" w:eastAsia="仿宋_GB2312" w:cs="Times New Roman"/>
          <w:sz w:val="30"/>
          <w:szCs w:val="30"/>
          <w:lang w:val="zh-CN"/>
        </w:rPr>
        <w:t>为核心的县域产业共生体系，</w:t>
      </w:r>
      <w:r>
        <w:rPr>
          <w:rFonts w:hint="eastAsia" w:ascii="Times New Roman" w:hAnsi="Times New Roman" w:eastAsia="仿宋_GB2312" w:cs="Times New Roman"/>
          <w:sz w:val="30"/>
          <w:szCs w:val="30"/>
          <w:lang w:val="zh-CN"/>
        </w:rPr>
        <w:t>构建</w:t>
      </w:r>
      <w:r>
        <w:rPr>
          <w:rFonts w:ascii="Times New Roman" w:hAnsi="Times New Roman" w:eastAsia="仿宋_GB2312" w:cs="Times New Roman"/>
          <w:sz w:val="30"/>
          <w:szCs w:val="30"/>
          <w:lang w:val="zh-CN"/>
        </w:rPr>
        <w:t>以</w:t>
      </w:r>
      <w:r>
        <w:rPr>
          <w:rFonts w:hint="eastAsia" w:ascii="Times New Roman" w:hAnsi="Times New Roman" w:eastAsia="仿宋_GB2312" w:cs="Times New Roman"/>
          <w:sz w:val="30"/>
          <w:szCs w:val="30"/>
          <w:lang w:val="zh-CN"/>
        </w:rPr>
        <w:t>热巴艺术、茶马古道原生态文化、特色精品农产品的供给基地，构建清洁能源开发示范基地，以怒江流域重要生态保护地为特色，努力建成绿色产业发达、环境优美宜居、生态文化繁荣、生态制度先进的团结富裕文明和谐美丽的社会主义现代化新洛隆。</w:t>
      </w:r>
    </w:p>
    <w:p w14:paraId="452391BA">
      <w:pPr>
        <w:spacing w:line="580" w:lineRule="exact"/>
        <w:ind w:firstLine="600" w:firstLineChars="200"/>
        <w:outlineLvl w:val="2"/>
        <w:rPr>
          <w:rFonts w:ascii="Times New Roman" w:hAnsi="Times New Roman" w:eastAsia="楷体_GB2312" w:cs="Times New Roman"/>
          <w:b/>
          <w:bCs/>
          <w:sz w:val="30"/>
          <w:szCs w:val="30"/>
          <w:lang w:val="zh-CN"/>
        </w:rPr>
      </w:pPr>
      <w:r>
        <w:rPr>
          <w:rFonts w:hint="eastAsia" w:ascii="Times New Roman" w:hAnsi="Times New Roman" w:eastAsia="楷体_GB2312" w:cs="Times New Roman"/>
          <w:b/>
          <w:bCs/>
          <w:sz w:val="30"/>
          <w:szCs w:val="30"/>
          <w:lang w:val="zh-CN"/>
        </w:rPr>
        <w:t>（二）阶段目标</w:t>
      </w:r>
    </w:p>
    <w:p w14:paraId="009A71CD">
      <w:pPr>
        <w:adjustRightInd w:val="0"/>
        <w:snapToGrid w:val="0"/>
        <w:spacing w:line="500" w:lineRule="exact"/>
        <w:ind w:firstLine="600" w:firstLineChars="200"/>
        <w:rPr>
          <w:rFonts w:ascii="Times New Roman" w:hAnsi="Times New Roman" w:eastAsia="仿宋_GB2312" w:cs="Times New Roman"/>
          <w:sz w:val="30"/>
          <w:szCs w:val="30"/>
          <w:lang w:val="zh-CN"/>
        </w:rPr>
      </w:pPr>
      <w:bookmarkStart w:id="57" w:name="_Toc29060"/>
      <w:r>
        <w:rPr>
          <w:rFonts w:hint="eastAsia" w:ascii="Times New Roman" w:hAnsi="Times New Roman" w:eastAsia="仿宋_GB2312" w:cs="Times New Roman"/>
          <w:sz w:val="30"/>
          <w:szCs w:val="30"/>
          <w:lang w:val="zh-CN"/>
        </w:rPr>
        <w:t>近期创建达标期（202</w:t>
      </w:r>
      <w:r>
        <w:rPr>
          <w:rFonts w:ascii="Times New Roman" w:hAnsi="Times New Roman" w:eastAsia="仿宋_GB2312" w:cs="Times New Roman"/>
          <w:sz w:val="30"/>
          <w:szCs w:val="30"/>
          <w:lang w:val="zh-CN"/>
        </w:rPr>
        <w:t>2</w:t>
      </w:r>
      <w:r>
        <w:rPr>
          <w:rFonts w:hint="eastAsia" w:ascii="Times New Roman" w:hAnsi="Times New Roman" w:eastAsia="仿宋_GB2312" w:cs="Times New Roman"/>
          <w:sz w:val="30"/>
          <w:szCs w:val="30"/>
          <w:lang w:val="zh-CN"/>
        </w:rPr>
        <w:t>-202</w:t>
      </w:r>
      <w:r>
        <w:rPr>
          <w:rFonts w:ascii="Times New Roman" w:hAnsi="Times New Roman" w:eastAsia="仿宋_GB2312" w:cs="Times New Roman"/>
          <w:sz w:val="30"/>
          <w:szCs w:val="30"/>
          <w:lang w:val="zh-CN"/>
        </w:rPr>
        <w:t>5</w:t>
      </w:r>
      <w:r>
        <w:rPr>
          <w:rFonts w:hint="eastAsia" w:ascii="Times New Roman" w:hAnsi="Times New Roman" w:eastAsia="仿宋_GB2312" w:cs="Times New Roman"/>
          <w:sz w:val="30"/>
          <w:szCs w:val="30"/>
          <w:lang w:val="zh-CN"/>
        </w:rPr>
        <w:t>年）：202</w:t>
      </w:r>
      <w:r>
        <w:rPr>
          <w:rFonts w:ascii="Times New Roman" w:hAnsi="Times New Roman" w:eastAsia="仿宋_GB2312" w:cs="Times New Roman"/>
          <w:sz w:val="30"/>
          <w:szCs w:val="30"/>
          <w:lang w:val="zh-CN"/>
        </w:rPr>
        <w:t>5</w:t>
      </w:r>
      <w:r>
        <w:rPr>
          <w:rFonts w:hint="eastAsia" w:ascii="Times New Roman" w:hAnsi="Times New Roman" w:eastAsia="仿宋_GB2312" w:cs="Times New Roman"/>
          <w:sz w:val="30"/>
          <w:szCs w:val="30"/>
          <w:lang w:val="zh-CN"/>
        </w:rPr>
        <w:t>年西藏自治区生态文明建设示范县指标全面达标，空间开发格局日趋合理，生态保护红线、自然保护性质不改变、功能不降低；河湖岸线保有率达到上级要求；生态经济持续发展壮大，资源能源实现节约高效循环利用，单位GDP能耗、单位GDP用水量完成上级规定的目标任务并保持稳定或持续改善，生态建设和环境保护取得显著成效，生物多样性得到有效保护，水、气、声环境质量达到自治区生态文明示范县要求，林草覆盖率达到92.63%以上；生态文明体制机制基本建立，生态文明建设工作占党政绩效考核的比例达到</w:t>
      </w:r>
      <w:r>
        <w:rPr>
          <w:rFonts w:hint="eastAsia" w:ascii="Times New Roman" w:hAnsi="Times New Roman" w:eastAsia="仿宋_GB2312" w:cs="Times New Roman"/>
          <w:sz w:val="30"/>
          <w:szCs w:val="30"/>
        </w:rPr>
        <w:t>25</w:t>
      </w:r>
      <w:r>
        <w:rPr>
          <w:rFonts w:hint="eastAsia" w:ascii="Times New Roman" w:hAnsi="Times New Roman" w:eastAsia="仿宋_GB2312" w:cs="Times New Roman"/>
          <w:sz w:val="30"/>
          <w:szCs w:val="30"/>
          <w:lang w:val="zh-CN"/>
        </w:rPr>
        <w:t>%以上；生态文明观念意识逐步普及。</w:t>
      </w:r>
    </w:p>
    <w:p w14:paraId="400C8829">
      <w:pPr>
        <w:adjustRightInd w:val="0"/>
        <w:snapToGrid w:val="0"/>
        <w:spacing w:line="500" w:lineRule="exact"/>
        <w:ind w:firstLine="600" w:firstLineChars="200"/>
        <w:rPr>
          <w:rFonts w:ascii="Times New Roman" w:hAnsi="Times New Roman" w:eastAsia="仿宋_GB2312" w:cs="Times New Roman"/>
          <w:sz w:val="30"/>
          <w:szCs w:val="30"/>
          <w:lang w:val="zh-CN"/>
        </w:rPr>
      </w:pPr>
      <w:r>
        <w:rPr>
          <w:rFonts w:hint="eastAsia" w:ascii="Times New Roman" w:hAnsi="Times New Roman" w:eastAsia="仿宋_GB2312" w:cs="Times New Roman"/>
          <w:sz w:val="30"/>
          <w:szCs w:val="30"/>
          <w:lang w:val="zh-CN"/>
        </w:rPr>
        <w:t>中期巩固提升期（202</w:t>
      </w:r>
      <w:r>
        <w:rPr>
          <w:rFonts w:ascii="Times New Roman" w:hAnsi="Times New Roman" w:eastAsia="仿宋_GB2312" w:cs="Times New Roman"/>
          <w:sz w:val="30"/>
          <w:szCs w:val="30"/>
          <w:lang w:val="zh-CN"/>
        </w:rPr>
        <w:t>6</w:t>
      </w:r>
      <w:r>
        <w:rPr>
          <w:rFonts w:hint="eastAsia" w:ascii="Times New Roman" w:hAnsi="Times New Roman" w:eastAsia="仿宋_GB2312" w:cs="Times New Roman"/>
          <w:sz w:val="30"/>
          <w:szCs w:val="30"/>
          <w:lang w:val="zh-CN"/>
        </w:rPr>
        <w:t>-202</w:t>
      </w:r>
      <w:r>
        <w:rPr>
          <w:rFonts w:ascii="Times New Roman" w:hAnsi="Times New Roman" w:eastAsia="仿宋_GB2312" w:cs="Times New Roman"/>
          <w:sz w:val="30"/>
          <w:szCs w:val="30"/>
          <w:lang w:val="zh-CN"/>
        </w:rPr>
        <w:t>8</w:t>
      </w:r>
      <w:r>
        <w:rPr>
          <w:rFonts w:hint="eastAsia" w:ascii="Times New Roman" w:hAnsi="Times New Roman" w:eastAsia="仿宋_GB2312" w:cs="Times New Roman"/>
          <w:sz w:val="30"/>
          <w:szCs w:val="30"/>
          <w:lang w:val="zh-CN"/>
        </w:rPr>
        <w:t>年）：深化拓展生态文明建设理念，巩固提升生态文明建设成果，绿水青山、冰天雪地向金山银山转化的模式初步建立，以绿色低碳循环为核心的高原特色产业体系基本建立，生态旅游业、特色农牧业和绿色能源产业成为拉动经济增长的主要增长点；生态制度更加健全，生态环境持续良好，人与自然更加和谐，生态屏障功能进一步巩固；生态文化氛围浓厚，民族团结宗教和睦，社会局势和谐稳定；生态文明建设示范县各项指标达到西藏自治区生态文明建设示范县。</w:t>
      </w:r>
    </w:p>
    <w:p w14:paraId="3BD059B3">
      <w:pPr>
        <w:adjustRightInd w:val="0"/>
        <w:snapToGrid w:val="0"/>
        <w:spacing w:line="500" w:lineRule="exact"/>
        <w:ind w:firstLine="600" w:firstLineChars="200"/>
        <w:rPr>
          <w:rFonts w:ascii="Times New Roman" w:hAnsi="Times New Roman" w:eastAsia="仿宋_GB2312" w:cs="Times New Roman"/>
          <w:sz w:val="30"/>
          <w:szCs w:val="30"/>
          <w:lang w:val="zh-CN"/>
        </w:rPr>
      </w:pPr>
      <w:r>
        <w:rPr>
          <w:rFonts w:hint="eastAsia" w:ascii="Times New Roman" w:hAnsi="Times New Roman" w:eastAsia="仿宋_GB2312" w:cs="Times New Roman"/>
          <w:sz w:val="30"/>
          <w:szCs w:val="30"/>
          <w:lang w:val="zh-CN"/>
        </w:rPr>
        <w:t>远期全面升华期（202</w:t>
      </w:r>
      <w:r>
        <w:rPr>
          <w:rFonts w:ascii="Times New Roman" w:hAnsi="Times New Roman" w:eastAsia="仿宋_GB2312" w:cs="Times New Roman"/>
          <w:sz w:val="30"/>
          <w:szCs w:val="30"/>
          <w:lang w:val="zh-CN"/>
        </w:rPr>
        <w:t>9</w:t>
      </w:r>
      <w:r>
        <w:rPr>
          <w:rFonts w:hint="eastAsia" w:ascii="Times New Roman" w:hAnsi="Times New Roman" w:eastAsia="仿宋_GB2312" w:cs="Times New Roman"/>
          <w:sz w:val="30"/>
          <w:szCs w:val="30"/>
          <w:lang w:val="zh-CN"/>
        </w:rPr>
        <w:t>-2030年）：全县经济发展质量和发展水平显著提高，生态环境质量全市领先，生态环境风险得到有效管控，生态产品供给满足人民群众期望值；生态文明意识深入人心，生态文化全面繁荣，生态人居体系优美和谐；生态文明建设体制机制建设取得重大突破。实现经济、社会与环境的全面协调可持续发展，人与自然和谐相处，生态文明建设水平进一步升华提升，全面建成生态文明高地，建成美丽洛隆。</w:t>
      </w:r>
    </w:p>
    <w:bookmarkEnd w:id="57"/>
    <w:p w14:paraId="430DEDF0">
      <w:pPr>
        <w:spacing w:line="580" w:lineRule="exact"/>
        <w:jc w:val="center"/>
        <w:outlineLvl w:val="1"/>
        <w:rPr>
          <w:rFonts w:ascii="Times New Roman" w:hAnsi="Times New Roman" w:eastAsia="黑体" w:cs="Times New Roman"/>
          <w:bCs/>
          <w:sz w:val="32"/>
          <w:szCs w:val="32"/>
        </w:rPr>
      </w:pPr>
      <w:bookmarkStart w:id="58" w:name="_Toc28977"/>
      <w:bookmarkStart w:id="59" w:name="_Toc8553"/>
      <w:bookmarkStart w:id="60" w:name="_Toc10213"/>
      <w:r>
        <w:rPr>
          <w:rFonts w:ascii="Times New Roman" w:hAnsi="Times New Roman" w:eastAsia="黑体" w:cs="Times New Roman"/>
          <w:bCs/>
          <w:sz w:val="32"/>
          <w:szCs w:val="32"/>
        </w:rPr>
        <w:t>第五节  规划指标</w:t>
      </w:r>
      <w:bookmarkEnd w:id="58"/>
      <w:bookmarkEnd w:id="59"/>
      <w:bookmarkEnd w:id="60"/>
    </w:p>
    <w:p w14:paraId="086DD5BA">
      <w:pPr>
        <w:adjustRightInd w:val="0"/>
        <w:snapToGrid w:val="0"/>
        <w:spacing w:line="500" w:lineRule="exact"/>
        <w:ind w:firstLine="600" w:firstLineChars="200"/>
        <w:rPr>
          <w:rFonts w:ascii="Times New Roman" w:hAnsi="Times New Roman" w:eastAsia="仿宋_GB2312" w:cs="Times New Roman"/>
          <w:sz w:val="30"/>
          <w:szCs w:val="30"/>
          <w:lang w:val="zh-CN"/>
        </w:rPr>
      </w:pPr>
      <w:r>
        <w:rPr>
          <w:rFonts w:ascii="Times New Roman" w:hAnsi="Times New Roman" w:eastAsia="仿宋_GB2312" w:cs="Times New Roman"/>
          <w:sz w:val="30"/>
          <w:szCs w:val="30"/>
          <w:lang w:val="zh-CN"/>
        </w:rPr>
        <w:t>依据西藏自治区生态环境厅发布的《西藏自治区生态文明建设示范区管理制度体系》，</w:t>
      </w:r>
      <w:r>
        <w:rPr>
          <w:rFonts w:hint="eastAsia" w:ascii="Times New Roman" w:hAnsi="Times New Roman" w:eastAsia="仿宋_GB2312" w:cs="Times New Roman"/>
          <w:sz w:val="30"/>
          <w:szCs w:val="30"/>
          <w:lang w:val="zh-CN"/>
        </w:rPr>
        <w:t>洛隆</w:t>
      </w:r>
      <w:r>
        <w:rPr>
          <w:rFonts w:ascii="Times New Roman" w:hAnsi="Times New Roman" w:eastAsia="仿宋_GB2312" w:cs="Times New Roman"/>
          <w:sz w:val="30"/>
          <w:szCs w:val="30"/>
          <w:lang w:val="zh-CN"/>
        </w:rPr>
        <w:t>县西藏自治区生态文明建设示范县指标体系，包括生态制度、生态</w:t>
      </w:r>
      <w:r>
        <w:rPr>
          <w:rFonts w:ascii="Times New Roman" w:hAnsi="Times New Roman" w:eastAsia="仿宋_GB2312" w:cs="Times New Roman"/>
          <w:sz w:val="30"/>
          <w:szCs w:val="30"/>
        </w:rPr>
        <w:t>环境</w:t>
      </w:r>
      <w:r>
        <w:rPr>
          <w:rFonts w:ascii="Times New Roman" w:hAnsi="Times New Roman" w:eastAsia="仿宋_GB2312" w:cs="Times New Roman"/>
          <w:sz w:val="30"/>
          <w:szCs w:val="30"/>
          <w:lang w:val="zh-CN"/>
        </w:rPr>
        <w:t>、生态空间、生态经济、生态生活和生态文化共41项考核指标，其中约束性指标22项、参考性指标19项。</w:t>
      </w:r>
      <w:r>
        <w:rPr>
          <w:rFonts w:hint="eastAsia" w:ascii="Times New Roman" w:hAnsi="Times New Roman" w:eastAsia="仿宋_GB2312" w:cs="Times New Roman"/>
          <w:sz w:val="30"/>
          <w:szCs w:val="30"/>
          <w:lang w:val="zh-CN"/>
        </w:rPr>
        <w:t>洛隆</w:t>
      </w:r>
      <w:r>
        <w:rPr>
          <w:rFonts w:ascii="Times New Roman" w:hAnsi="Times New Roman" w:eastAsia="仿宋_GB2312" w:cs="Times New Roman"/>
          <w:sz w:val="30"/>
          <w:szCs w:val="30"/>
          <w:lang w:val="zh-CN"/>
        </w:rPr>
        <w:t>县已达标指标为</w:t>
      </w:r>
      <w:r>
        <w:rPr>
          <w:rFonts w:ascii="Times New Roman" w:hAnsi="Times New Roman" w:eastAsia="仿宋_GB2312" w:cs="Times New Roman"/>
          <w:sz w:val="30"/>
          <w:szCs w:val="30"/>
        </w:rPr>
        <w:t>40</w:t>
      </w:r>
      <w:r>
        <w:rPr>
          <w:rFonts w:ascii="Times New Roman" w:hAnsi="Times New Roman" w:eastAsia="仿宋_GB2312" w:cs="Times New Roman"/>
          <w:sz w:val="30"/>
          <w:szCs w:val="30"/>
          <w:lang w:val="zh-CN"/>
        </w:rPr>
        <w:t>项，未达标指标</w:t>
      </w:r>
      <w:r>
        <w:rPr>
          <w:rFonts w:hint="eastAsia" w:ascii="Times New Roman" w:hAnsi="Times New Roman" w:eastAsia="仿宋_GB2312" w:cs="Times New Roman"/>
          <w:sz w:val="30"/>
          <w:szCs w:val="30"/>
          <w:lang w:val="zh-CN"/>
        </w:rPr>
        <w:t>1</w:t>
      </w:r>
      <w:r>
        <w:rPr>
          <w:rFonts w:ascii="Times New Roman" w:hAnsi="Times New Roman" w:eastAsia="仿宋_GB2312" w:cs="Times New Roman"/>
          <w:sz w:val="30"/>
          <w:szCs w:val="30"/>
          <w:lang w:val="zh-CN"/>
        </w:rPr>
        <w:t>项。具体指标体系见表1。</w:t>
      </w:r>
    </w:p>
    <w:p w14:paraId="2A00B2D2">
      <w:pPr>
        <w:adjustRightInd w:val="0"/>
        <w:snapToGrid w:val="0"/>
        <w:spacing w:line="500" w:lineRule="exact"/>
        <w:ind w:firstLine="600" w:firstLineChars="200"/>
        <w:rPr>
          <w:rFonts w:ascii="Times New Roman" w:hAnsi="Times New Roman" w:eastAsia="仿宋_GB2312" w:cs="Times New Roman"/>
          <w:sz w:val="30"/>
          <w:szCs w:val="30"/>
          <w:lang w:val="zh-CN"/>
        </w:rPr>
        <w:sectPr>
          <w:footerReference r:id="rId7" w:type="default"/>
          <w:pgSz w:w="11906" w:h="16838"/>
          <w:pgMar w:top="1440" w:right="1701" w:bottom="1440" w:left="1758" w:header="851" w:footer="992" w:gutter="0"/>
          <w:cols w:space="425" w:num="1"/>
          <w:docGrid w:type="linesAndChars" w:linePitch="312" w:charSpace="0"/>
        </w:sectPr>
      </w:pPr>
    </w:p>
    <w:p w14:paraId="1B975F01">
      <w:pPr>
        <w:jc w:val="center"/>
        <w:rPr>
          <w:rFonts w:ascii="黑体" w:hAnsi="黑体" w:eastAsia="黑体" w:cs="黑体"/>
          <w:sz w:val="30"/>
          <w:szCs w:val="30"/>
          <w:lang w:val="zh-CN"/>
        </w:rPr>
      </w:pPr>
      <w:r>
        <w:rPr>
          <w:rFonts w:hint="eastAsia" w:ascii="黑体" w:hAnsi="黑体" w:eastAsia="黑体" w:cs="黑体"/>
          <w:sz w:val="30"/>
          <w:szCs w:val="30"/>
          <w:lang w:val="zh-CN"/>
        </w:rPr>
        <w:t>表1  洛隆县西藏自治区生态文明建设示范县指标体系</w:t>
      </w:r>
    </w:p>
    <w:tbl>
      <w:tblPr>
        <w:tblStyle w:val="42"/>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38"/>
        <w:gridCol w:w="738"/>
        <w:gridCol w:w="460"/>
        <w:gridCol w:w="2841"/>
        <w:gridCol w:w="630"/>
        <w:gridCol w:w="1228"/>
        <w:gridCol w:w="1342"/>
        <w:gridCol w:w="1600"/>
        <w:gridCol w:w="1370"/>
        <w:gridCol w:w="1358"/>
        <w:gridCol w:w="1321"/>
        <w:gridCol w:w="848"/>
      </w:tblGrid>
      <w:tr w14:paraId="6D87F9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6" w:hRule="atLeast"/>
          <w:tblHeader/>
        </w:trPr>
        <w:tc>
          <w:tcPr>
            <w:tcW w:w="154" w:type="pct"/>
            <w:vMerge w:val="restart"/>
            <w:vAlign w:val="center"/>
          </w:tcPr>
          <w:p w14:paraId="19245EF1">
            <w:pPr>
              <w:ind w:left="-53" w:leftChars="-25" w:right="-53" w:rightChars="-25"/>
              <w:jc w:val="center"/>
              <w:rPr>
                <w:rFonts w:eastAsia="宋体" w:cs="Times New Roman"/>
                <w:szCs w:val="21"/>
              </w:rPr>
            </w:pPr>
            <w:r>
              <w:rPr>
                <w:rFonts w:eastAsia="宋体" w:cs="Times New Roman"/>
                <w:bCs/>
                <w:szCs w:val="21"/>
              </w:rPr>
              <w:t>领域</w:t>
            </w:r>
          </w:p>
        </w:tc>
        <w:tc>
          <w:tcPr>
            <w:tcW w:w="260" w:type="pct"/>
            <w:vMerge w:val="restart"/>
            <w:vAlign w:val="center"/>
          </w:tcPr>
          <w:p w14:paraId="235AF229">
            <w:pPr>
              <w:ind w:left="-53" w:leftChars="-25" w:right="-53" w:rightChars="-25"/>
              <w:jc w:val="center"/>
              <w:rPr>
                <w:rFonts w:eastAsia="宋体" w:cs="Times New Roman"/>
                <w:szCs w:val="21"/>
              </w:rPr>
            </w:pPr>
            <w:r>
              <w:rPr>
                <w:rFonts w:eastAsia="宋体" w:cs="Times New Roman"/>
                <w:bCs/>
                <w:szCs w:val="21"/>
              </w:rPr>
              <w:t>任务</w:t>
            </w:r>
          </w:p>
        </w:tc>
        <w:tc>
          <w:tcPr>
            <w:tcW w:w="162" w:type="pct"/>
            <w:vMerge w:val="restart"/>
            <w:vAlign w:val="center"/>
          </w:tcPr>
          <w:p w14:paraId="7308C19E">
            <w:pPr>
              <w:ind w:left="-53" w:leftChars="-25" w:right="-53" w:rightChars="-25"/>
              <w:jc w:val="center"/>
              <w:rPr>
                <w:rFonts w:eastAsia="宋体" w:cs="Times New Roman"/>
                <w:szCs w:val="21"/>
              </w:rPr>
            </w:pPr>
            <w:r>
              <w:rPr>
                <w:rFonts w:eastAsia="宋体" w:cs="Times New Roman"/>
                <w:bCs/>
                <w:szCs w:val="21"/>
              </w:rPr>
              <w:t>序号</w:t>
            </w:r>
          </w:p>
        </w:tc>
        <w:tc>
          <w:tcPr>
            <w:tcW w:w="1001" w:type="pct"/>
            <w:vMerge w:val="restart"/>
            <w:vAlign w:val="center"/>
          </w:tcPr>
          <w:p w14:paraId="31F8C97A">
            <w:pPr>
              <w:ind w:left="-53" w:leftChars="-25" w:right="-53" w:rightChars="-25"/>
              <w:rPr>
                <w:rFonts w:eastAsia="宋体" w:cs="Times New Roman"/>
                <w:szCs w:val="21"/>
              </w:rPr>
            </w:pPr>
            <w:r>
              <w:rPr>
                <w:rFonts w:eastAsia="宋体" w:cs="Times New Roman"/>
                <w:bCs/>
                <w:szCs w:val="21"/>
              </w:rPr>
              <w:t>指标名称</w:t>
            </w:r>
          </w:p>
        </w:tc>
        <w:tc>
          <w:tcPr>
            <w:tcW w:w="222" w:type="pct"/>
            <w:vMerge w:val="restart"/>
            <w:vAlign w:val="center"/>
          </w:tcPr>
          <w:p w14:paraId="3056298F">
            <w:pPr>
              <w:ind w:left="-53" w:leftChars="-25" w:right="-53" w:rightChars="-25"/>
              <w:jc w:val="center"/>
              <w:rPr>
                <w:rFonts w:eastAsia="宋体" w:cs="Times New Roman"/>
                <w:szCs w:val="21"/>
              </w:rPr>
            </w:pPr>
            <w:r>
              <w:rPr>
                <w:rFonts w:eastAsia="宋体" w:cs="Times New Roman"/>
                <w:bCs/>
                <w:szCs w:val="21"/>
              </w:rPr>
              <w:t>单位</w:t>
            </w:r>
          </w:p>
        </w:tc>
        <w:tc>
          <w:tcPr>
            <w:tcW w:w="433" w:type="pct"/>
            <w:vMerge w:val="restart"/>
            <w:vAlign w:val="center"/>
          </w:tcPr>
          <w:p w14:paraId="74851D6D">
            <w:pPr>
              <w:ind w:left="-53" w:leftChars="-25" w:right="-53" w:rightChars="-25"/>
              <w:jc w:val="center"/>
              <w:rPr>
                <w:rFonts w:eastAsia="宋体" w:cs="Times New Roman"/>
                <w:szCs w:val="21"/>
              </w:rPr>
            </w:pPr>
            <w:r>
              <w:rPr>
                <w:rFonts w:eastAsia="宋体" w:cs="Times New Roman"/>
                <w:bCs/>
                <w:szCs w:val="21"/>
              </w:rPr>
              <w:t>指标值</w:t>
            </w:r>
          </w:p>
        </w:tc>
        <w:tc>
          <w:tcPr>
            <w:tcW w:w="473" w:type="pct"/>
            <w:vMerge w:val="restart"/>
            <w:vAlign w:val="center"/>
          </w:tcPr>
          <w:p w14:paraId="31C6CD91">
            <w:pPr>
              <w:ind w:left="-53" w:leftChars="-25" w:right="-53" w:rightChars="-25"/>
              <w:jc w:val="center"/>
              <w:rPr>
                <w:rFonts w:eastAsia="宋体" w:cs="Times New Roman"/>
                <w:szCs w:val="21"/>
              </w:rPr>
            </w:pPr>
            <w:r>
              <w:rPr>
                <w:rFonts w:eastAsia="宋体" w:cs="Times New Roman"/>
                <w:bCs/>
                <w:szCs w:val="21"/>
              </w:rPr>
              <w:t>指标现状（2021年）</w:t>
            </w:r>
          </w:p>
        </w:tc>
        <w:tc>
          <w:tcPr>
            <w:tcW w:w="564" w:type="pct"/>
            <w:vMerge w:val="restart"/>
            <w:vAlign w:val="center"/>
          </w:tcPr>
          <w:p w14:paraId="32C90DF7">
            <w:pPr>
              <w:ind w:left="-53" w:leftChars="-25" w:right="-53" w:rightChars="-25"/>
              <w:jc w:val="center"/>
              <w:rPr>
                <w:rFonts w:eastAsia="宋体" w:cs="Times New Roman"/>
                <w:bCs/>
                <w:szCs w:val="21"/>
              </w:rPr>
            </w:pPr>
            <w:r>
              <w:rPr>
                <w:rFonts w:eastAsia="宋体" w:cs="Times New Roman"/>
                <w:bCs/>
                <w:szCs w:val="21"/>
              </w:rPr>
              <w:t>指标</w:t>
            </w:r>
          </w:p>
          <w:p w14:paraId="662991D9">
            <w:pPr>
              <w:ind w:left="-53" w:leftChars="-25" w:right="-53" w:rightChars="-25"/>
              <w:jc w:val="center"/>
              <w:rPr>
                <w:rFonts w:eastAsia="宋体" w:cs="Times New Roman"/>
                <w:bCs/>
                <w:szCs w:val="21"/>
              </w:rPr>
            </w:pPr>
            <w:r>
              <w:rPr>
                <w:rFonts w:eastAsia="宋体" w:cs="Times New Roman"/>
                <w:bCs/>
                <w:szCs w:val="21"/>
              </w:rPr>
              <w:t>完成情况</w:t>
            </w:r>
          </w:p>
        </w:tc>
        <w:tc>
          <w:tcPr>
            <w:tcW w:w="1428" w:type="pct"/>
            <w:gridSpan w:val="3"/>
            <w:tcBorders>
              <w:bottom w:val="single" w:color="auto" w:sz="4" w:space="0"/>
            </w:tcBorders>
            <w:vAlign w:val="center"/>
          </w:tcPr>
          <w:p w14:paraId="63CD18DB">
            <w:pPr>
              <w:ind w:left="-53" w:leftChars="-25" w:right="-53" w:rightChars="-25"/>
              <w:jc w:val="center"/>
              <w:rPr>
                <w:rFonts w:eastAsia="宋体" w:cs="Times New Roman"/>
                <w:bCs/>
                <w:szCs w:val="21"/>
              </w:rPr>
            </w:pPr>
            <w:r>
              <w:rPr>
                <w:rFonts w:eastAsia="宋体" w:cs="Times New Roman"/>
                <w:bCs/>
                <w:szCs w:val="21"/>
              </w:rPr>
              <w:t>规划目标</w:t>
            </w:r>
          </w:p>
        </w:tc>
        <w:tc>
          <w:tcPr>
            <w:tcW w:w="299" w:type="pct"/>
            <w:vMerge w:val="restart"/>
            <w:vAlign w:val="center"/>
          </w:tcPr>
          <w:p w14:paraId="4E3F8065">
            <w:pPr>
              <w:ind w:left="-53" w:leftChars="-25" w:right="-53" w:rightChars="-25"/>
              <w:jc w:val="center"/>
              <w:rPr>
                <w:rFonts w:eastAsia="宋体" w:cs="Times New Roman"/>
                <w:bCs/>
                <w:szCs w:val="21"/>
              </w:rPr>
            </w:pPr>
            <w:r>
              <w:rPr>
                <w:rFonts w:eastAsia="宋体" w:cs="Times New Roman"/>
                <w:bCs/>
                <w:szCs w:val="21"/>
              </w:rPr>
              <w:t>指标</w:t>
            </w:r>
          </w:p>
          <w:p w14:paraId="752D7FAD">
            <w:pPr>
              <w:ind w:left="-53" w:leftChars="-25" w:right="-53" w:rightChars="-25"/>
              <w:jc w:val="center"/>
              <w:rPr>
                <w:rFonts w:eastAsia="宋体" w:cs="Times New Roman"/>
                <w:szCs w:val="21"/>
              </w:rPr>
            </w:pPr>
            <w:r>
              <w:rPr>
                <w:rFonts w:eastAsia="宋体" w:cs="Times New Roman"/>
                <w:bCs/>
                <w:szCs w:val="21"/>
              </w:rPr>
              <w:t>属性</w:t>
            </w:r>
          </w:p>
        </w:tc>
      </w:tr>
      <w:tr w14:paraId="775D1A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2" w:hRule="atLeast"/>
          <w:tblHeader/>
        </w:trPr>
        <w:tc>
          <w:tcPr>
            <w:tcW w:w="154" w:type="pct"/>
            <w:vMerge w:val="continue"/>
            <w:vAlign w:val="center"/>
          </w:tcPr>
          <w:p w14:paraId="14811B11">
            <w:pPr>
              <w:ind w:left="-53" w:leftChars="-25" w:right="-53" w:rightChars="-25"/>
              <w:jc w:val="center"/>
              <w:rPr>
                <w:rFonts w:eastAsia="宋体" w:cs="Times New Roman"/>
                <w:bCs/>
                <w:szCs w:val="21"/>
              </w:rPr>
            </w:pPr>
          </w:p>
        </w:tc>
        <w:tc>
          <w:tcPr>
            <w:tcW w:w="260" w:type="pct"/>
            <w:vMerge w:val="continue"/>
            <w:vAlign w:val="center"/>
          </w:tcPr>
          <w:p w14:paraId="37F812D9">
            <w:pPr>
              <w:ind w:left="-53" w:leftChars="-25" w:right="-53" w:rightChars="-25"/>
              <w:jc w:val="center"/>
              <w:rPr>
                <w:rFonts w:eastAsia="宋体" w:cs="Times New Roman"/>
                <w:bCs/>
                <w:szCs w:val="21"/>
              </w:rPr>
            </w:pPr>
          </w:p>
        </w:tc>
        <w:tc>
          <w:tcPr>
            <w:tcW w:w="162" w:type="pct"/>
            <w:vMerge w:val="continue"/>
            <w:vAlign w:val="center"/>
          </w:tcPr>
          <w:p w14:paraId="42F7E719">
            <w:pPr>
              <w:ind w:left="-53" w:leftChars="-25" w:right="-53" w:rightChars="-25"/>
              <w:jc w:val="center"/>
              <w:rPr>
                <w:rFonts w:eastAsia="宋体" w:cs="Times New Roman"/>
                <w:bCs/>
                <w:szCs w:val="21"/>
              </w:rPr>
            </w:pPr>
          </w:p>
        </w:tc>
        <w:tc>
          <w:tcPr>
            <w:tcW w:w="1001" w:type="pct"/>
            <w:vMerge w:val="continue"/>
            <w:vAlign w:val="center"/>
          </w:tcPr>
          <w:p w14:paraId="3B6982DF">
            <w:pPr>
              <w:ind w:left="-53" w:leftChars="-25" w:right="-53" w:rightChars="-25"/>
              <w:rPr>
                <w:rFonts w:eastAsia="宋体" w:cs="Times New Roman"/>
                <w:bCs/>
                <w:szCs w:val="21"/>
              </w:rPr>
            </w:pPr>
          </w:p>
        </w:tc>
        <w:tc>
          <w:tcPr>
            <w:tcW w:w="222" w:type="pct"/>
            <w:vMerge w:val="continue"/>
            <w:vAlign w:val="center"/>
          </w:tcPr>
          <w:p w14:paraId="59CE8837">
            <w:pPr>
              <w:ind w:left="-53" w:leftChars="-25" w:right="-53" w:rightChars="-25"/>
              <w:jc w:val="center"/>
              <w:rPr>
                <w:rFonts w:eastAsia="宋体" w:cs="Times New Roman"/>
                <w:bCs/>
                <w:szCs w:val="21"/>
              </w:rPr>
            </w:pPr>
          </w:p>
        </w:tc>
        <w:tc>
          <w:tcPr>
            <w:tcW w:w="433" w:type="pct"/>
            <w:vMerge w:val="continue"/>
            <w:vAlign w:val="center"/>
          </w:tcPr>
          <w:p w14:paraId="634C92B3">
            <w:pPr>
              <w:ind w:left="-53" w:leftChars="-25" w:right="-53" w:rightChars="-25"/>
              <w:jc w:val="center"/>
              <w:rPr>
                <w:rFonts w:eastAsia="宋体" w:cs="Times New Roman"/>
                <w:bCs/>
                <w:szCs w:val="21"/>
              </w:rPr>
            </w:pPr>
          </w:p>
        </w:tc>
        <w:tc>
          <w:tcPr>
            <w:tcW w:w="473" w:type="pct"/>
            <w:vMerge w:val="continue"/>
            <w:vAlign w:val="center"/>
          </w:tcPr>
          <w:p w14:paraId="0BA4CC60">
            <w:pPr>
              <w:ind w:left="-53" w:leftChars="-25" w:right="-53" w:rightChars="-25"/>
              <w:jc w:val="center"/>
              <w:rPr>
                <w:rFonts w:eastAsia="宋体" w:cs="Times New Roman"/>
                <w:bCs/>
                <w:szCs w:val="21"/>
              </w:rPr>
            </w:pPr>
          </w:p>
        </w:tc>
        <w:tc>
          <w:tcPr>
            <w:tcW w:w="564" w:type="pct"/>
            <w:vMerge w:val="continue"/>
            <w:vAlign w:val="center"/>
          </w:tcPr>
          <w:p w14:paraId="4C412F34">
            <w:pPr>
              <w:ind w:left="-53" w:leftChars="-25" w:right="-53" w:rightChars="-25"/>
              <w:jc w:val="center"/>
              <w:rPr>
                <w:rFonts w:eastAsia="宋体" w:cs="Times New Roman"/>
                <w:bCs/>
                <w:szCs w:val="21"/>
              </w:rPr>
            </w:pPr>
          </w:p>
        </w:tc>
        <w:tc>
          <w:tcPr>
            <w:tcW w:w="483" w:type="pct"/>
            <w:vAlign w:val="center"/>
          </w:tcPr>
          <w:p w14:paraId="7BBCBDCC">
            <w:pPr>
              <w:ind w:left="-53" w:leftChars="-25" w:right="-53" w:rightChars="-25"/>
              <w:jc w:val="center"/>
              <w:rPr>
                <w:rFonts w:eastAsia="宋体" w:cs="Times New Roman"/>
                <w:bCs/>
                <w:szCs w:val="21"/>
              </w:rPr>
            </w:pPr>
            <w:r>
              <w:rPr>
                <w:rFonts w:eastAsia="宋体" w:cs="Times New Roman"/>
                <w:szCs w:val="21"/>
              </w:rPr>
              <w:t>2025年</w:t>
            </w:r>
          </w:p>
        </w:tc>
        <w:tc>
          <w:tcPr>
            <w:tcW w:w="479" w:type="pct"/>
            <w:vAlign w:val="center"/>
          </w:tcPr>
          <w:p w14:paraId="12CA2822">
            <w:pPr>
              <w:ind w:left="-53" w:leftChars="-25" w:right="-53" w:rightChars="-25"/>
              <w:jc w:val="center"/>
              <w:rPr>
                <w:rFonts w:eastAsia="宋体" w:cs="Times New Roman"/>
                <w:bCs/>
                <w:szCs w:val="21"/>
              </w:rPr>
            </w:pPr>
            <w:r>
              <w:rPr>
                <w:rFonts w:eastAsia="宋体" w:cs="Times New Roman"/>
                <w:szCs w:val="21"/>
              </w:rPr>
              <w:t>2028年</w:t>
            </w:r>
          </w:p>
        </w:tc>
        <w:tc>
          <w:tcPr>
            <w:tcW w:w="465" w:type="pct"/>
            <w:vAlign w:val="center"/>
          </w:tcPr>
          <w:p w14:paraId="70725EEA">
            <w:pPr>
              <w:ind w:left="-53" w:leftChars="-25" w:right="-53" w:rightChars="-25"/>
              <w:jc w:val="center"/>
              <w:rPr>
                <w:rFonts w:eastAsia="宋体" w:cs="Times New Roman"/>
                <w:bCs/>
                <w:szCs w:val="21"/>
              </w:rPr>
            </w:pPr>
            <w:r>
              <w:rPr>
                <w:rFonts w:eastAsia="宋体" w:cs="Times New Roman"/>
                <w:bCs/>
                <w:szCs w:val="21"/>
              </w:rPr>
              <w:t>2030年</w:t>
            </w:r>
          </w:p>
        </w:tc>
        <w:tc>
          <w:tcPr>
            <w:tcW w:w="299" w:type="pct"/>
            <w:vMerge w:val="continue"/>
            <w:vAlign w:val="center"/>
          </w:tcPr>
          <w:p w14:paraId="6EB02A8B">
            <w:pPr>
              <w:ind w:left="-53" w:leftChars="-25" w:right="-53" w:rightChars="-25"/>
              <w:jc w:val="center"/>
              <w:rPr>
                <w:rFonts w:eastAsia="宋体" w:cs="Times New Roman"/>
                <w:bCs/>
                <w:szCs w:val="21"/>
              </w:rPr>
            </w:pPr>
          </w:p>
        </w:tc>
      </w:tr>
      <w:tr w14:paraId="33E2BE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4" w:type="pct"/>
            <w:vMerge w:val="restart"/>
            <w:vAlign w:val="center"/>
          </w:tcPr>
          <w:p w14:paraId="49C69C91">
            <w:pPr>
              <w:ind w:left="-53" w:leftChars="-25" w:right="-53" w:rightChars="-25"/>
              <w:jc w:val="center"/>
              <w:rPr>
                <w:rFonts w:eastAsia="宋体" w:cs="Times New Roman"/>
                <w:szCs w:val="21"/>
              </w:rPr>
            </w:pPr>
            <w:r>
              <w:rPr>
                <w:rFonts w:eastAsia="宋体" w:cs="Times New Roman"/>
                <w:bCs/>
                <w:szCs w:val="21"/>
              </w:rPr>
              <w:t>生态制度</w:t>
            </w:r>
          </w:p>
        </w:tc>
        <w:tc>
          <w:tcPr>
            <w:tcW w:w="260" w:type="pct"/>
            <w:vMerge w:val="restart"/>
            <w:vAlign w:val="center"/>
          </w:tcPr>
          <w:p w14:paraId="6371411D">
            <w:pPr>
              <w:ind w:left="-53" w:leftChars="-25" w:right="-53" w:rightChars="-25"/>
              <w:rPr>
                <w:rFonts w:eastAsia="宋体" w:cs="Times New Roman"/>
                <w:bCs/>
                <w:szCs w:val="21"/>
              </w:rPr>
            </w:pPr>
            <w:r>
              <w:rPr>
                <w:rFonts w:eastAsia="宋体" w:cs="Times New Roman"/>
                <w:bCs/>
                <w:szCs w:val="21"/>
              </w:rPr>
              <w:t>（一）</w:t>
            </w:r>
          </w:p>
          <w:p w14:paraId="0ADBD898">
            <w:pPr>
              <w:ind w:left="-53" w:leftChars="-25" w:right="-53" w:rightChars="-25"/>
              <w:rPr>
                <w:rFonts w:eastAsia="宋体" w:cs="Times New Roman"/>
                <w:szCs w:val="21"/>
              </w:rPr>
            </w:pPr>
            <w:r>
              <w:rPr>
                <w:rFonts w:eastAsia="宋体" w:cs="Times New Roman"/>
                <w:bCs/>
                <w:szCs w:val="21"/>
              </w:rPr>
              <w:t>目标责任体系与制度建设</w:t>
            </w:r>
          </w:p>
        </w:tc>
        <w:tc>
          <w:tcPr>
            <w:tcW w:w="162" w:type="pct"/>
            <w:vAlign w:val="center"/>
          </w:tcPr>
          <w:p w14:paraId="2F10F7A4">
            <w:pPr>
              <w:ind w:left="-53" w:leftChars="-25" w:right="-53" w:rightChars="-25"/>
              <w:jc w:val="center"/>
              <w:rPr>
                <w:rFonts w:eastAsia="宋体" w:cs="Times New Roman"/>
                <w:szCs w:val="21"/>
              </w:rPr>
            </w:pPr>
            <w:r>
              <w:rPr>
                <w:rFonts w:eastAsia="宋体" w:cs="Times New Roman"/>
                <w:szCs w:val="21"/>
              </w:rPr>
              <w:t>1</w:t>
            </w:r>
          </w:p>
        </w:tc>
        <w:tc>
          <w:tcPr>
            <w:tcW w:w="1001" w:type="pct"/>
            <w:vAlign w:val="center"/>
          </w:tcPr>
          <w:p w14:paraId="38F91FCD">
            <w:pPr>
              <w:ind w:left="-53" w:leftChars="-25" w:right="-53" w:rightChars="-25"/>
              <w:rPr>
                <w:rFonts w:eastAsia="宋体" w:cs="Times New Roman"/>
                <w:szCs w:val="21"/>
              </w:rPr>
            </w:pPr>
            <w:r>
              <w:rPr>
                <w:rFonts w:eastAsia="宋体" w:cs="Times New Roman"/>
                <w:bCs/>
                <w:szCs w:val="21"/>
              </w:rPr>
              <w:t>生态文明建设规划</w:t>
            </w:r>
          </w:p>
        </w:tc>
        <w:tc>
          <w:tcPr>
            <w:tcW w:w="222" w:type="pct"/>
            <w:vAlign w:val="center"/>
          </w:tcPr>
          <w:p w14:paraId="4845D16A">
            <w:pPr>
              <w:ind w:left="-53" w:leftChars="-25" w:right="-53" w:rightChars="-25"/>
              <w:jc w:val="center"/>
              <w:rPr>
                <w:rFonts w:eastAsia="宋体" w:cs="Times New Roman"/>
                <w:bCs/>
                <w:szCs w:val="21"/>
              </w:rPr>
            </w:pPr>
            <w:r>
              <w:rPr>
                <w:rFonts w:eastAsia="宋体" w:cs="Times New Roman"/>
                <w:bCs/>
                <w:szCs w:val="21"/>
              </w:rPr>
              <w:t>-</w:t>
            </w:r>
          </w:p>
        </w:tc>
        <w:tc>
          <w:tcPr>
            <w:tcW w:w="433" w:type="pct"/>
            <w:vAlign w:val="center"/>
          </w:tcPr>
          <w:p w14:paraId="397FB676">
            <w:pPr>
              <w:ind w:left="-53" w:leftChars="-25" w:right="-53" w:rightChars="-25"/>
              <w:jc w:val="center"/>
              <w:rPr>
                <w:rFonts w:eastAsia="宋体" w:cs="Times New Roman"/>
                <w:bCs/>
                <w:szCs w:val="21"/>
              </w:rPr>
            </w:pPr>
            <w:r>
              <w:rPr>
                <w:rFonts w:eastAsia="宋体" w:cs="Times New Roman"/>
                <w:bCs/>
                <w:szCs w:val="21"/>
              </w:rPr>
              <w:t>制定实施</w:t>
            </w:r>
          </w:p>
        </w:tc>
        <w:tc>
          <w:tcPr>
            <w:tcW w:w="473" w:type="pct"/>
            <w:vAlign w:val="center"/>
          </w:tcPr>
          <w:p w14:paraId="7387965E">
            <w:pPr>
              <w:ind w:left="-53" w:leftChars="-25" w:right="-53" w:rightChars="-25"/>
              <w:jc w:val="center"/>
              <w:rPr>
                <w:rFonts w:eastAsia="宋体" w:cs="Times New Roman"/>
                <w:bCs/>
                <w:szCs w:val="21"/>
              </w:rPr>
            </w:pPr>
            <w:r>
              <w:rPr>
                <w:rFonts w:eastAsia="宋体" w:cs="Times New Roman"/>
                <w:bCs/>
                <w:szCs w:val="21"/>
              </w:rPr>
              <w:t>建立并实施</w:t>
            </w:r>
          </w:p>
        </w:tc>
        <w:tc>
          <w:tcPr>
            <w:tcW w:w="564" w:type="pct"/>
            <w:vAlign w:val="center"/>
          </w:tcPr>
          <w:p w14:paraId="33A09B9F">
            <w:pPr>
              <w:ind w:left="-53" w:leftChars="-25" w:right="-53" w:rightChars="-25"/>
              <w:jc w:val="center"/>
              <w:rPr>
                <w:rFonts w:eastAsia="宋体" w:cs="Times New Roman"/>
                <w:bCs/>
                <w:szCs w:val="21"/>
              </w:rPr>
            </w:pPr>
            <w:r>
              <w:rPr>
                <w:rFonts w:eastAsia="宋体" w:cs="Times New Roman"/>
                <w:bCs/>
                <w:szCs w:val="21"/>
              </w:rPr>
              <w:t>未达标</w:t>
            </w:r>
          </w:p>
        </w:tc>
        <w:tc>
          <w:tcPr>
            <w:tcW w:w="483" w:type="pct"/>
            <w:vAlign w:val="center"/>
          </w:tcPr>
          <w:p w14:paraId="337EE5D3">
            <w:pPr>
              <w:ind w:left="-53" w:leftChars="-25" w:right="-53" w:rightChars="-25"/>
              <w:rPr>
                <w:rFonts w:eastAsia="宋体" w:cs="Times New Roman"/>
                <w:bCs/>
                <w:szCs w:val="21"/>
              </w:rPr>
            </w:pPr>
            <w:r>
              <w:rPr>
                <w:rFonts w:eastAsia="宋体" w:cs="Times New Roman"/>
                <w:bCs/>
                <w:szCs w:val="21"/>
              </w:rPr>
              <w:t>建立并实施</w:t>
            </w:r>
          </w:p>
        </w:tc>
        <w:tc>
          <w:tcPr>
            <w:tcW w:w="479" w:type="pct"/>
            <w:vAlign w:val="center"/>
          </w:tcPr>
          <w:p w14:paraId="264398EF">
            <w:pPr>
              <w:ind w:left="-53" w:leftChars="-25" w:right="-53" w:rightChars="-25"/>
              <w:rPr>
                <w:rFonts w:eastAsia="宋体" w:cs="Times New Roman"/>
                <w:bCs/>
                <w:szCs w:val="21"/>
              </w:rPr>
            </w:pPr>
            <w:r>
              <w:rPr>
                <w:rFonts w:eastAsia="宋体" w:cs="Times New Roman"/>
                <w:bCs/>
                <w:szCs w:val="21"/>
              </w:rPr>
              <w:t>建立并实施</w:t>
            </w:r>
          </w:p>
        </w:tc>
        <w:tc>
          <w:tcPr>
            <w:tcW w:w="465" w:type="pct"/>
            <w:vAlign w:val="center"/>
          </w:tcPr>
          <w:p w14:paraId="0A4ED508">
            <w:pPr>
              <w:ind w:left="-53" w:leftChars="-25" w:right="-53" w:rightChars="-25"/>
              <w:rPr>
                <w:rFonts w:eastAsia="宋体" w:cs="Times New Roman"/>
                <w:bCs/>
                <w:szCs w:val="21"/>
              </w:rPr>
            </w:pPr>
            <w:r>
              <w:rPr>
                <w:rFonts w:eastAsia="宋体" w:cs="Times New Roman"/>
                <w:bCs/>
                <w:szCs w:val="21"/>
              </w:rPr>
              <w:t>建立并实施</w:t>
            </w:r>
          </w:p>
        </w:tc>
        <w:tc>
          <w:tcPr>
            <w:tcW w:w="299" w:type="pct"/>
            <w:vAlign w:val="center"/>
          </w:tcPr>
          <w:p w14:paraId="0D4F3CF8">
            <w:pPr>
              <w:ind w:left="-53" w:leftChars="-25" w:right="-53" w:rightChars="-25"/>
              <w:jc w:val="center"/>
              <w:rPr>
                <w:rFonts w:eastAsia="宋体" w:cs="Times New Roman"/>
                <w:szCs w:val="21"/>
              </w:rPr>
            </w:pPr>
            <w:r>
              <w:rPr>
                <w:rFonts w:eastAsia="宋体" w:cs="Times New Roman"/>
                <w:bCs/>
                <w:szCs w:val="21"/>
              </w:rPr>
              <w:t>约束性</w:t>
            </w:r>
          </w:p>
        </w:tc>
      </w:tr>
      <w:tr w14:paraId="1BD8B1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4" w:type="pct"/>
            <w:vMerge w:val="continue"/>
            <w:vAlign w:val="center"/>
          </w:tcPr>
          <w:p w14:paraId="1CA97405">
            <w:pPr>
              <w:ind w:left="-53" w:leftChars="-25" w:right="-53" w:rightChars="-25"/>
              <w:jc w:val="center"/>
              <w:rPr>
                <w:rFonts w:eastAsia="宋体" w:cs="Times New Roman"/>
                <w:szCs w:val="21"/>
              </w:rPr>
            </w:pPr>
          </w:p>
        </w:tc>
        <w:tc>
          <w:tcPr>
            <w:tcW w:w="260" w:type="pct"/>
            <w:vMerge w:val="continue"/>
            <w:vAlign w:val="center"/>
          </w:tcPr>
          <w:p w14:paraId="2BD4A455">
            <w:pPr>
              <w:ind w:left="-53" w:leftChars="-25" w:right="-53" w:rightChars="-25"/>
              <w:rPr>
                <w:rFonts w:eastAsia="宋体" w:cs="Times New Roman"/>
                <w:szCs w:val="21"/>
              </w:rPr>
            </w:pPr>
          </w:p>
        </w:tc>
        <w:tc>
          <w:tcPr>
            <w:tcW w:w="162" w:type="pct"/>
            <w:vAlign w:val="center"/>
          </w:tcPr>
          <w:p w14:paraId="17B1136B">
            <w:pPr>
              <w:ind w:left="-53" w:leftChars="-25" w:right="-53" w:rightChars="-25"/>
              <w:jc w:val="center"/>
              <w:rPr>
                <w:rFonts w:eastAsia="宋体" w:cs="Times New Roman"/>
                <w:szCs w:val="21"/>
              </w:rPr>
            </w:pPr>
            <w:r>
              <w:rPr>
                <w:rFonts w:eastAsia="宋体" w:cs="Times New Roman"/>
                <w:szCs w:val="21"/>
              </w:rPr>
              <w:t>2</w:t>
            </w:r>
          </w:p>
        </w:tc>
        <w:tc>
          <w:tcPr>
            <w:tcW w:w="1001" w:type="pct"/>
            <w:vAlign w:val="center"/>
          </w:tcPr>
          <w:p w14:paraId="7F42AEBB">
            <w:pPr>
              <w:ind w:left="-53" w:leftChars="-25" w:right="-53" w:rightChars="-25"/>
              <w:rPr>
                <w:rFonts w:eastAsia="宋体" w:cs="Times New Roman"/>
                <w:szCs w:val="21"/>
              </w:rPr>
            </w:pPr>
            <w:r>
              <w:rPr>
                <w:rFonts w:eastAsia="宋体" w:cs="Times New Roman"/>
                <w:bCs/>
                <w:szCs w:val="21"/>
              </w:rPr>
              <w:t>生态文明建设工作占党政实绩考核的比例</w:t>
            </w:r>
          </w:p>
        </w:tc>
        <w:tc>
          <w:tcPr>
            <w:tcW w:w="222" w:type="pct"/>
            <w:vAlign w:val="center"/>
          </w:tcPr>
          <w:p w14:paraId="3C364B59">
            <w:pPr>
              <w:ind w:left="-53" w:leftChars="-25" w:right="-53" w:rightChars="-25"/>
              <w:jc w:val="center"/>
              <w:rPr>
                <w:rFonts w:eastAsia="宋体" w:cs="Times New Roman"/>
                <w:szCs w:val="21"/>
              </w:rPr>
            </w:pPr>
            <w:r>
              <w:rPr>
                <w:rFonts w:eastAsia="宋体" w:cs="Times New Roman"/>
                <w:bCs/>
                <w:szCs w:val="21"/>
              </w:rPr>
              <w:t>%</w:t>
            </w:r>
          </w:p>
        </w:tc>
        <w:tc>
          <w:tcPr>
            <w:tcW w:w="433" w:type="pct"/>
            <w:vAlign w:val="center"/>
          </w:tcPr>
          <w:p w14:paraId="09F56249">
            <w:pPr>
              <w:ind w:left="-53" w:leftChars="-25" w:right="-53" w:rightChars="-25"/>
              <w:jc w:val="center"/>
              <w:rPr>
                <w:rFonts w:eastAsia="宋体" w:cs="Times New Roman"/>
                <w:szCs w:val="21"/>
              </w:rPr>
            </w:pPr>
            <w:r>
              <w:rPr>
                <w:rFonts w:eastAsia="宋体" w:cs="Times New Roman"/>
                <w:bCs/>
                <w:szCs w:val="21"/>
              </w:rPr>
              <w:t>≥20</w:t>
            </w:r>
          </w:p>
        </w:tc>
        <w:tc>
          <w:tcPr>
            <w:tcW w:w="473" w:type="pct"/>
            <w:vAlign w:val="center"/>
          </w:tcPr>
          <w:p w14:paraId="25C852E7">
            <w:pPr>
              <w:ind w:left="-53" w:leftChars="-25" w:right="-53" w:rightChars="-25"/>
              <w:jc w:val="center"/>
              <w:rPr>
                <w:rFonts w:eastAsia="宋体" w:cs="Times New Roman"/>
                <w:szCs w:val="21"/>
              </w:rPr>
            </w:pPr>
            <w:r>
              <w:rPr>
                <w:rFonts w:eastAsia="宋体" w:cs="Times New Roman"/>
                <w:szCs w:val="21"/>
              </w:rPr>
              <w:t>25</w:t>
            </w:r>
          </w:p>
        </w:tc>
        <w:tc>
          <w:tcPr>
            <w:tcW w:w="564" w:type="pct"/>
            <w:vAlign w:val="center"/>
          </w:tcPr>
          <w:p w14:paraId="11212D3B">
            <w:pPr>
              <w:ind w:left="-53" w:leftChars="-25" w:right="-53" w:rightChars="-25"/>
              <w:jc w:val="center"/>
              <w:rPr>
                <w:rFonts w:eastAsia="宋体" w:cs="Times New Roman"/>
                <w:bCs/>
                <w:szCs w:val="21"/>
              </w:rPr>
            </w:pPr>
            <w:r>
              <w:rPr>
                <w:rFonts w:eastAsia="宋体" w:cs="Times New Roman"/>
                <w:bCs/>
                <w:szCs w:val="21"/>
              </w:rPr>
              <w:t>已完成</w:t>
            </w:r>
          </w:p>
        </w:tc>
        <w:tc>
          <w:tcPr>
            <w:tcW w:w="483" w:type="pct"/>
            <w:vAlign w:val="center"/>
          </w:tcPr>
          <w:p w14:paraId="40D0E495">
            <w:pPr>
              <w:ind w:left="-53" w:leftChars="-25" w:right="-53" w:rightChars="-25"/>
              <w:jc w:val="center"/>
              <w:rPr>
                <w:rFonts w:eastAsia="宋体" w:cs="Times New Roman"/>
                <w:bCs/>
                <w:szCs w:val="21"/>
              </w:rPr>
            </w:pPr>
            <w:r>
              <w:rPr>
                <w:rFonts w:eastAsia="宋体" w:cs="Times New Roman"/>
                <w:bCs/>
                <w:szCs w:val="21"/>
              </w:rPr>
              <w:t>≥25</w:t>
            </w:r>
          </w:p>
        </w:tc>
        <w:tc>
          <w:tcPr>
            <w:tcW w:w="479" w:type="pct"/>
            <w:vAlign w:val="center"/>
          </w:tcPr>
          <w:p w14:paraId="28DE1227">
            <w:pPr>
              <w:ind w:left="-53" w:leftChars="-25" w:right="-53" w:rightChars="-25"/>
              <w:jc w:val="center"/>
              <w:rPr>
                <w:rFonts w:eastAsia="宋体" w:cs="Times New Roman"/>
                <w:bCs/>
                <w:szCs w:val="21"/>
              </w:rPr>
            </w:pPr>
            <w:r>
              <w:rPr>
                <w:rFonts w:eastAsia="宋体" w:cs="Times New Roman"/>
                <w:bCs/>
                <w:szCs w:val="21"/>
              </w:rPr>
              <w:t>≥25</w:t>
            </w:r>
          </w:p>
        </w:tc>
        <w:tc>
          <w:tcPr>
            <w:tcW w:w="465" w:type="pct"/>
            <w:vAlign w:val="center"/>
          </w:tcPr>
          <w:p w14:paraId="6A6B3CD4">
            <w:pPr>
              <w:ind w:left="-53" w:leftChars="-25" w:right="-53" w:rightChars="-25"/>
              <w:jc w:val="center"/>
              <w:rPr>
                <w:rFonts w:eastAsia="宋体" w:cs="Times New Roman"/>
                <w:bCs/>
                <w:szCs w:val="21"/>
              </w:rPr>
            </w:pPr>
            <w:r>
              <w:rPr>
                <w:rFonts w:eastAsia="宋体" w:cs="Times New Roman"/>
                <w:bCs/>
                <w:szCs w:val="21"/>
              </w:rPr>
              <w:t>≥25</w:t>
            </w:r>
          </w:p>
        </w:tc>
        <w:tc>
          <w:tcPr>
            <w:tcW w:w="299" w:type="pct"/>
            <w:vAlign w:val="center"/>
          </w:tcPr>
          <w:p w14:paraId="2F0988FA">
            <w:pPr>
              <w:ind w:left="-53" w:leftChars="-25" w:right="-53" w:rightChars="-25"/>
              <w:jc w:val="center"/>
              <w:rPr>
                <w:rFonts w:eastAsia="宋体" w:cs="Times New Roman"/>
                <w:szCs w:val="21"/>
              </w:rPr>
            </w:pPr>
            <w:r>
              <w:rPr>
                <w:rFonts w:eastAsia="宋体" w:cs="Times New Roman"/>
                <w:bCs/>
                <w:szCs w:val="21"/>
              </w:rPr>
              <w:t>约束性</w:t>
            </w:r>
          </w:p>
        </w:tc>
      </w:tr>
      <w:tr w14:paraId="115D62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4" w:type="pct"/>
            <w:vMerge w:val="continue"/>
            <w:vAlign w:val="center"/>
          </w:tcPr>
          <w:p w14:paraId="631469DE">
            <w:pPr>
              <w:ind w:left="-53" w:leftChars="-25" w:right="-53" w:rightChars="-25"/>
              <w:jc w:val="center"/>
              <w:rPr>
                <w:rFonts w:eastAsia="宋体" w:cs="Times New Roman"/>
                <w:szCs w:val="21"/>
              </w:rPr>
            </w:pPr>
          </w:p>
        </w:tc>
        <w:tc>
          <w:tcPr>
            <w:tcW w:w="260" w:type="pct"/>
            <w:vMerge w:val="continue"/>
            <w:vAlign w:val="center"/>
          </w:tcPr>
          <w:p w14:paraId="212E5B64">
            <w:pPr>
              <w:ind w:left="-53" w:leftChars="-25" w:right="-53" w:rightChars="-25"/>
              <w:rPr>
                <w:rFonts w:eastAsia="宋体" w:cs="Times New Roman"/>
                <w:szCs w:val="21"/>
              </w:rPr>
            </w:pPr>
          </w:p>
        </w:tc>
        <w:tc>
          <w:tcPr>
            <w:tcW w:w="162" w:type="pct"/>
            <w:vAlign w:val="center"/>
          </w:tcPr>
          <w:p w14:paraId="0A74DAD5">
            <w:pPr>
              <w:ind w:left="-53" w:leftChars="-25" w:right="-53" w:rightChars="-25"/>
              <w:jc w:val="center"/>
              <w:rPr>
                <w:rFonts w:eastAsia="宋体" w:cs="Times New Roman"/>
                <w:szCs w:val="21"/>
              </w:rPr>
            </w:pPr>
            <w:r>
              <w:rPr>
                <w:rFonts w:eastAsia="宋体" w:cs="Times New Roman"/>
                <w:szCs w:val="21"/>
              </w:rPr>
              <w:t>3</w:t>
            </w:r>
          </w:p>
        </w:tc>
        <w:tc>
          <w:tcPr>
            <w:tcW w:w="1001" w:type="pct"/>
            <w:vAlign w:val="center"/>
          </w:tcPr>
          <w:p w14:paraId="3FFBC624">
            <w:pPr>
              <w:ind w:left="-53" w:leftChars="-25" w:right="-53" w:rightChars="-25"/>
              <w:rPr>
                <w:rFonts w:eastAsia="宋体" w:cs="Times New Roman"/>
                <w:szCs w:val="21"/>
              </w:rPr>
            </w:pPr>
            <w:r>
              <w:rPr>
                <w:rFonts w:eastAsia="宋体" w:cs="Times New Roman"/>
                <w:bCs/>
                <w:szCs w:val="21"/>
              </w:rPr>
              <w:t>自然资源资产负债表</w:t>
            </w:r>
          </w:p>
        </w:tc>
        <w:tc>
          <w:tcPr>
            <w:tcW w:w="222" w:type="pct"/>
            <w:vAlign w:val="center"/>
          </w:tcPr>
          <w:p w14:paraId="38ED25BA">
            <w:pPr>
              <w:ind w:left="-53" w:leftChars="-25" w:right="-53" w:rightChars="-25"/>
              <w:jc w:val="center"/>
              <w:rPr>
                <w:rFonts w:eastAsia="宋体" w:cs="Times New Roman"/>
                <w:szCs w:val="21"/>
              </w:rPr>
            </w:pPr>
            <w:r>
              <w:rPr>
                <w:rFonts w:eastAsia="宋体" w:cs="Times New Roman"/>
                <w:szCs w:val="21"/>
              </w:rPr>
              <w:t>-</w:t>
            </w:r>
          </w:p>
        </w:tc>
        <w:tc>
          <w:tcPr>
            <w:tcW w:w="433" w:type="pct"/>
            <w:vAlign w:val="center"/>
          </w:tcPr>
          <w:p w14:paraId="7CCD1174">
            <w:pPr>
              <w:ind w:left="-53" w:leftChars="-25" w:right="-53" w:rightChars="-25"/>
              <w:jc w:val="center"/>
              <w:rPr>
                <w:rFonts w:eastAsia="宋体" w:cs="Times New Roman"/>
                <w:szCs w:val="21"/>
              </w:rPr>
            </w:pPr>
            <w:r>
              <w:rPr>
                <w:rFonts w:eastAsia="宋体" w:cs="Times New Roman"/>
                <w:bCs/>
                <w:szCs w:val="21"/>
              </w:rPr>
              <w:t>编制</w:t>
            </w:r>
          </w:p>
        </w:tc>
        <w:tc>
          <w:tcPr>
            <w:tcW w:w="473" w:type="pct"/>
            <w:vAlign w:val="center"/>
          </w:tcPr>
          <w:p w14:paraId="62239AE1">
            <w:pPr>
              <w:ind w:left="-53" w:leftChars="-25" w:right="-53" w:rightChars="-25"/>
              <w:jc w:val="center"/>
              <w:rPr>
                <w:rFonts w:eastAsia="宋体" w:cs="Times New Roman"/>
                <w:szCs w:val="21"/>
              </w:rPr>
            </w:pPr>
            <w:r>
              <w:rPr>
                <w:rFonts w:eastAsia="宋体" w:cs="Times New Roman"/>
                <w:bCs/>
                <w:szCs w:val="21"/>
              </w:rPr>
              <w:t>开展</w:t>
            </w:r>
          </w:p>
        </w:tc>
        <w:tc>
          <w:tcPr>
            <w:tcW w:w="564" w:type="pct"/>
            <w:vAlign w:val="center"/>
          </w:tcPr>
          <w:p w14:paraId="0AF9A0CE">
            <w:pPr>
              <w:ind w:left="-53" w:leftChars="-25" w:right="-53" w:rightChars="-25"/>
              <w:jc w:val="center"/>
              <w:rPr>
                <w:rFonts w:eastAsia="宋体" w:cs="Times New Roman"/>
                <w:szCs w:val="21"/>
              </w:rPr>
            </w:pPr>
            <w:r>
              <w:rPr>
                <w:rFonts w:hint="eastAsia" w:eastAsia="宋体" w:cs="Times New Roman"/>
                <w:bCs/>
                <w:szCs w:val="21"/>
              </w:rPr>
              <w:t>达标</w:t>
            </w:r>
          </w:p>
        </w:tc>
        <w:tc>
          <w:tcPr>
            <w:tcW w:w="483" w:type="pct"/>
            <w:vAlign w:val="center"/>
          </w:tcPr>
          <w:p w14:paraId="259AA401">
            <w:pPr>
              <w:ind w:left="-53" w:leftChars="-25" w:right="-53" w:rightChars="-25"/>
              <w:jc w:val="center"/>
              <w:rPr>
                <w:rFonts w:eastAsia="宋体" w:cs="Times New Roman"/>
                <w:bCs/>
                <w:szCs w:val="21"/>
              </w:rPr>
            </w:pPr>
            <w:r>
              <w:rPr>
                <w:rFonts w:eastAsia="宋体" w:cs="Times New Roman"/>
                <w:bCs/>
                <w:szCs w:val="21"/>
              </w:rPr>
              <w:t>开展</w:t>
            </w:r>
          </w:p>
        </w:tc>
        <w:tc>
          <w:tcPr>
            <w:tcW w:w="479" w:type="pct"/>
            <w:vAlign w:val="center"/>
          </w:tcPr>
          <w:p w14:paraId="38927170">
            <w:pPr>
              <w:ind w:left="-53" w:leftChars="-25" w:right="-53" w:rightChars="-25" w:firstLine="420"/>
              <w:jc w:val="center"/>
              <w:rPr>
                <w:rFonts w:eastAsia="宋体" w:cs="Times New Roman"/>
                <w:bCs/>
                <w:szCs w:val="21"/>
              </w:rPr>
            </w:pPr>
            <w:r>
              <w:rPr>
                <w:rFonts w:eastAsia="宋体" w:cs="Times New Roman"/>
                <w:bCs/>
                <w:szCs w:val="21"/>
              </w:rPr>
              <w:t>开展</w:t>
            </w:r>
          </w:p>
        </w:tc>
        <w:tc>
          <w:tcPr>
            <w:tcW w:w="465" w:type="pct"/>
            <w:vAlign w:val="center"/>
          </w:tcPr>
          <w:p w14:paraId="65169C91">
            <w:pPr>
              <w:ind w:left="-53" w:leftChars="-25" w:right="-53" w:rightChars="-25" w:firstLine="420"/>
              <w:jc w:val="center"/>
              <w:rPr>
                <w:rFonts w:eastAsia="宋体" w:cs="Times New Roman"/>
                <w:bCs/>
                <w:szCs w:val="21"/>
              </w:rPr>
            </w:pPr>
            <w:r>
              <w:rPr>
                <w:rFonts w:eastAsia="宋体" w:cs="Times New Roman"/>
                <w:bCs/>
                <w:szCs w:val="21"/>
              </w:rPr>
              <w:t>开展</w:t>
            </w:r>
          </w:p>
        </w:tc>
        <w:tc>
          <w:tcPr>
            <w:tcW w:w="299" w:type="pct"/>
            <w:vAlign w:val="center"/>
          </w:tcPr>
          <w:p w14:paraId="2F816070">
            <w:pPr>
              <w:ind w:left="-53" w:leftChars="-25" w:right="-53" w:rightChars="-25"/>
              <w:jc w:val="center"/>
              <w:rPr>
                <w:rFonts w:eastAsia="宋体" w:cs="Times New Roman"/>
                <w:szCs w:val="21"/>
              </w:rPr>
            </w:pPr>
            <w:r>
              <w:rPr>
                <w:rFonts w:eastAsia="宋体" w:cs="Times New Roman"/>
                <w:bCs/>
                <w:szCs w:val="21"/>
              </w:rPr>
              <w:t>约束性</w:t>
            </w:r>
          </w:p>
        </w:tc>
      </w:tr>
      <w:tr w14:paraId="3E1CE8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4" w:type="pct"/>
            <w:vMerge w:val="continue"/>
            <w:vAlign w:val="center"/>
          </w:tcPr>
          <w:p w14:paraId="4699DDF0">
            <w:pPr>
              <w:ind w:left="-53" w:leftChars="-25" w:right="-53" w:rightChars="-25"/>
              <w:jc w:val="center"/>
              <w:rPr>
                <w:rFonts w:eastAsia="宋体" w:cs="Times New Roman"/>
                <w:szCs w:val="21"/>
              </w:rPr>
            </w:pPr>
          </w:p>
        </w:tc>
        <w:tc>
          <w:tcPr>
            <w:tcW w:w="260" w:type="pct"/>
            <w:vMerge w:val="continue"/>
            <w:vAlign w:val="center"/>
          </w:tcPr>
          <w:p w14:paraId="17E4148F">
            <w:pPr>
              <w:ind w:left="-53" w:leftChars="-25" w:right="-53" w:rightChars="-25"/>
              <w:rPr>
                <w:rFonts w:eastAsia="宋体" w:cs="Times New Roman"/>
                <w:szCs w:val="21"/>
              </w:rPr>
            </w:pPr>
          </w:p>
        </w:tc>
        <w:tc>
          <w:tcPr>
            <w:tcW w:w="162" w:type="pct"/>
            <w:vAlign w:val="center"/>
          </w:tcPr>
          <w:p w14:paraId="23F579A8">
            <w:pPr>
              <w:ind w:left="-53" w:leftChars="-25" w:right="-53" w:rightChars="-25"/>
              <w:jc w:val="center"/>
              <w:rPr>
                <w:rFonts w:eastAsia="宋体" w:cs="Times New Roman"/>
                <w:szCs w:val="21"/>
              </w:rPr>
            </w:pPr>
            <w:r>
              <w:rPr>
                <w:rFonts w:eastAsia="宋体" w:cs="Times New Roman"/>
                <w:szCs w:val="21"/>
              </w:rPr>
              <w:t>4</w:t>
            </w:r>
          </w:p>
        </w:tc>
        <w:tc>
          <w:tcPr>
            <w:tcW w:w="1001" w:type="pct"/>
            <w:vAlign w:val="center"/>
          </w:tcPr>
          <w:p w14:paraId="1B48F55B">
            <w:pPr>
              <w:ind w:left="-53" w:leftChars="-25" w:right="-53" w:rightChars="-25"/>
              <w:rPr>
                <w:rFonts w:eastAsia="宋体" w:cs="Times New Roman"/>
                <w:szCs w:val="21"/>
              </w:rPr>
            </w:pPr>
            <w:r>
              <w:rPr>
                <w:rFonts w:eastAsia="宋体" w:cs="Times New Roman"/>
                <w:bCs/>
                <w:szCs w:val="21"/>
              </w:rPr>
              <w:t>自然资源资产离任审计</w:t>
            </w:r>
          </w:p>
        </w:tc>
        <w:tc>
          <w:tcPr>
            <w:tcW w:w="222" w:type="pct"/>
            <w:vAlign w:val="center"/>
          </w:tcPr>
          <w:p w14:paraId="58F956EF">
            <w:pPr>
              <w:ind w:left="-53" w:leftChars="-25" w:right="-53" w:rightChars="-25"/>
              <w:jc w:val="center"/>
              <w:rPr>
                <w:rFonts w:eastAsia="宋体" w:cs="Times New Roman"/>
                <w:szCs w:val="21"/>
              </w:rPr>
            </w:pPr>
            <w:r>
              <w:rPr>
                <w:rFonts w:eastAsia="宋体" w:cs="Times New Roman"/>
                <w:szCs w:val="21"/>
              </w:rPr>
              <w:t>-</w:t>
            </w:r>
          </w:p>
        </w:tc>
        <w:tc>
          <w:tcPr>
            <w:tcW w:w="433" w:type="pct"/>
            <w:vAlign w:val="center"/>
          </w:tcPr>
          <w:p w14:paraId="7088F579">
            <w:pPr>
              <w:ind w:left="-53" w:leftChars="-25" w:right="-53" w:rightChars="-25"/>
              <w:jc w:val="center"/>
              <w:rPr>
                <w:rFonts w:eastAsia="宋体" w:cs="Times New Roman"/>
                <w:szCs w:val="21"/>
              </w:rPr>
            </w:pPr>
            <w:r>
              <w:rPr>
                <w:rFonts w:eastAsia="宋体" w:cs="Times New Roman"/>
                <w:bCs/>
                <w:szCs w:val="21"/>
              </w:rPr>
              <w:t>开展</w:t>
            </w:r>
          </w:p>
        </w:tc>
        <w:tc>
          <w:tcPr>
            <w:tcW w:w="473" w:type="pct"/>
            <w:vAlign w:val="center"/>
          </w:tcPr>
          <w:p w14:paraId="513E1D50">
            <w:pPr>
              <w:ind w:left="-53" w:leftChars="-25" w:right="-53" w:rightChars="-25"/>
              <w:jc w:val="center"/>
              <w:rPr>
                <w:rFonts w:eastAsia="宋体" w:cs="Times New Roman"/>
                <w:szCs w:val="21"/>
              </w:rPr>
            </w:pPr>
            <w:r>
              <w:rPr>
                <w:rFonts w:eastAsia="宋体" w:cs="Times New Roman"/>
                <w:szCs w:val="21"/>
              </w:rPr>
              <w:t>开展</w:t>
            </w:r>
          </w:p>
        </w:tc>
        <w:tc>
          <w:tcPr>
            <w:tcW w:w="564" w:type="pct"/>
            <w:vAlign w:val="center"/>
          </w:tcPr>
          <w:p w14:paraId="56F777BA">
            <w:pPr>
              <w:ind w:left="-53" w:leftChars="-25" w:right="-53" w:rightChars="-25"/>
              <w:jc w:val="center"/>
              <w:rPr>
                <w:rFonts w:eastAsia="宋体" w:cs="Times New Roman"/>
                <w:bCs/>
                <w:szCs w:val="21"/>
              </w:rPr>
            </w:pPr>
            <w:r>
              <w:rPr>
                <w:rFonts w:eastAsia="宋体" w:cs="Times New Roman"/>
                <w:bCs/>
                <w:szCs w:val="21"/>
              </w:rPr>
              <w:t>达标</w:t>
            </w:r>
          </w:p>
        </w:tc>
        <w:tc>
          <w:tcPr>
            <w:tcW w:w="483" w:type="pct"/>
            <w:vAlign w:val="center"/>
          </w:tcPr>
          <w:p w14:paraId="6EB90976">
            <w:pPr>
              <w:ind w:left="-53" w:leftChars="-25" w:right="-53" w:rightChars="-25"/>
              <w:jc w:val="center"/>
              <w:rPr>
                <w:rFonts w:eastAsia="宋体" w:cs="Times New Roman"/>
                <w:bCs/>
                <w:szCs w:val="21"/>
              </w:rPr>
            </w:pPr>
            <w:r>
              <w:rPr>
                <w:rFonts w:eastAsia="宋体" w:cs="Times New Roman"/>
                <w:bCs/>
                <w:szCs w:val="21"/>
              </w:rPr>
              <w:t>开展</w:t>
            </w:r>
          </w:p>
        </w:tc>
        <w:tc>
          <w:tcPr>
            <w:tcW w:w="479" w:type="pct"/>
            <w:vAlign w:val="center"/>
          </w:tcPr>
          <w:p w14:paraId="4BACED7A">
            <w:pPr>
              <w:ind w:left="-53" w:leftChars="-25" w:right="-53" w:rightChars="-25"/>
              <w:jc w:val="center"/>
              <w:rPr>
                <w:rFonts w:eastAsia="宋体" w:cs="Times New Roman"/>
                <w:bCs/>
                <w:szCs w:val="21"/>
              </w:rPr>
            </w:pPr>
            <w:r>
              <w:rPr>
                <w:rFonts w:eastAsia="宋体" w:cs="Times New Roman"/>
                <w:bCs/>
                <w:szCs w:val="21"/>
              </w:rPr>
              <w:t>开展</w:t>
            </w:r>
          </w:p>
        </w:tc>
        <w:tc>
          <w:tcPr>
            <w:tcW w:w="465" w:type="pct"/>
            <w:vAlign w:val="center"/>
          </w:tcPr>
          <w:p w14:paraId="441F33AB">
            <w:pPr>
              <w:ind w:left="-53" w:leftChars="-25" w:right="-53" w:rightChars="-25"/>
              <w:jc w:val="center"/>
              <w:rPr>
                <w:rFonts w:eastAsia="宋体" w:cs="Times New Roman"/>
                <w:bCs/>
                <w:szCs w:val="21"/>
              </w:rPr>
            </w:pPr>
            <w:r>
              <w:rPr>
                <w:rFonts w:eastAsia="宋体" w:cs="Times New Roman"/>
                <w:bCs/>
                <w:szCs w:val="21"/>
              </w:rPr>
              <w:t>开展</w:t>
            </w:r>
          </w:p>
        </w:tc>
        <w:tc>
          <w:tcPr>
            <w:tcW w:w="299" w:type="pct"/>
            <w:vAlign w:val="center"/>
          </w:tcPr>
          <w:p w14:paraId="7C0DF27F">
            <w:pPr>
              <w:ind w:left="-53" w:leftChars="-25" w:right="-53" w:rightChars="-25"/>
              <w:jc w:val="center"/>
              <w:rPr>
                <w:rFonts w:eastAsia="宋体" w:cs="Times New Roman"/>
                <w:szCs w:val="21"/>
              </w:rPr>
            </w:pPr>
            <w:r>
              <w:rPr>
                <w:rFonts w:eastAsia="宋体" w:cs="Times New Roman"/>
                <w:bCs/>
                <w:szCs w:val="21"/>
              </w:rPr>
              <w:t>约束性</w:t>
            </w:r>
          </w:p>
        </w:tc>
      </w:tr>
      <w:tr w14:paraId="70AAD5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4" w:type="pct"/>
            <w:vMerge w:val="continue"/>
            <w:vAlign w:val="center"/>
          </w:tcPr>
          <w:p w14:paraId="75FD1732">
            <w:pPr>
              <w:ind w:left="-53" w:leftChars="-25" w:right="-53" w:rightChars="-25"/>
              <w:jc w:val="center"/>
              <w:rPr>
                <w:rFonts w:eastAsia="宋体" w:cs="Times New Roman"/>
                <w:szCs w:val="21"/>
              </w:rPr>
            </w:pPr>
          </w:p>
        </w:tc>
        <w:tc>
          <w:tcPr>
            <w:tcW w:w="260" w:type="pct"/>
            <w:vMerge w:val="continue"/>
            <w:vAlign w:val="center"/>
          </w:tcPr>
          <w:p w14:paraId="096FD925">
            <w:pPr>
              <w:ind w:left="-53" w:leftChars="-25" w:right="-53" w:rightChars="-25"/>
              <w:rPr>
                <w:rFonts w:eastAsia="宋体" w:cs="Times New Roman"/>
                <w:szCs w:val="21"/>
              </w:rPr>
            </w:pPr>
          </w:p>
        </w:tc>
        <w:tc>
          <w:tcPr>
            <w:tcW w:w="162" w:type="pct"/>
            <w:vAlign w:val="center"/>
          </w:tcPr>
          <w:p w14:paraId="22EA1D36">
            <w:pPr>
              <w:ind w:left="-53" w:leftChars="-25" w:right="-53" w:rightChars="-25"/>
              <w:jc w:val="center"/>
              <w:rPr>
                <w:rFonts w:eastAsia="宋体" w:cs="Times New Roman"/>
                <w:szCs w:val="21"/>
              </w:rPr>
            </w:pPr>
            <w:r>
              <w:rPr>
                <w:rFonts w:eastAsia="宋体" w:cs="Times New Roman"/>
                <w:szCs w:val="21"/>
              </w:rPr>
              <w:t>5</w:t>
            </w:r>
          </w:p>
        </w:tc>
        <w:tc>
          <w:tcPr>
            <w:tcW w:w="1001" w:type="pct"/>
            <w:vAlign w:val="center"/>
          </w:tcPr>
          <w:p w14:paraId="0A6F6003">
            <w:pPr>
              <w:ind w:left="-53" w:leftChars="-25" w:right="-53" w:rightChars="-25"/>
              <w:rPr>
                <w:rFonts w:eastAsia="宋体" w:cs="Times New Roman"/>
                <w:szCs w:val="21"/>
              </w:rPr>
            </w:pPr>
            <w:r>
              <w:rPr>
                <w:rFonts w:eastAsia="宋体" w:cs="Times New Roman"/>
                <w:bCs/>
                <w:szCs w:val="21"/>
              </w:rPr>
              <w:t>生态环境损害责任追究制度</w:t>
            </w:r>
          </w:p>
        </w:tc>
        <w:tc>
          <w:tcPr>
            <w:tcW w:w="222" w:type="pct"/>
            <w:vAlign w:val="center"/>
          </w:tcPr>
          <w:p w14:paraId="6DC2F9D3">
            <w:pPr>
              <w:ind w:left="-53" w:leftChars="-25" w:right="-53" w:rightChars="-25"/>
              <w:jc w:val="center"/>
              <w:rPr>
                <w:rFonts w:eastAsia="宋体" w:cs="Times New Roman"/>
                <w:szCs w:val="21"/>
              </w:rPr>
            </w:pPr>
            <w:r>
              <w:rPr>
                <w:rFonts w:eastAsia="宋体" w:cs="Times New Roman"/>
                <w:szCs w:val="21"/>
              </w:rPr>
              <w:t>-</w:t>
            </w:r>
          </w:p>
        </w:tc>
        <w:tc>
          <w:tcPr>
            <w:tcW w:w="433" w:type="pct"/>
            <w:vAlign w:val="center"/>
          </w:tcPr>
          <w:p w14:paraId="6BF71055">
            <w:pPr>
              <w:ind w:left="-53" w:leftChars="-25" w:right="-53" w:rightChars="-25"/>
              <w:jc w:val="center"/>
              <w:rPr>
                <w:rFonts w:eastAsia="宋体" w:cs="Times New Roman"/>
                <w:szCs w:val="21"/>
              </w:rPr>
            </w:pPr>
            <w:r>
              <w:rPr>
                <w:rFonts w:eastAsia="宋体" w:cs="Times New Roman"/>
                <w:bCs/>
                <w:szCs w:val="21"/>
              </w:rPr>
              <w:t>实施</w:t>
            </w:r>
          </w:p>
        </w:tc>
        <w:tc>
          <w:tcPr>
            <w:tcW w:w="473" w:type="pct"/>
            <w:vAlign w:val="center"/>
          </w:tcPr>
          <w:p w14:paraId="003A7050">
            <w:pPr>
              <w:ind w:left="-53" w:leftChars="-25" w:right="-53" w:rightChars="-25"/>
              <w:jc w:val="center"/>
              <w:rPr>
                <w:rFonts w:eastAsia="宋体" w:cs="Times New Roman"/>
                <w:szCs w:val="21"/>
              </w:rPr>
            </w:pPr>
            <w:r>
              <w:rPr>
                <w:rFonts w:eastAsia="宋体" w:cs="Times New Roman"/>
                <w:bCs/>
                <w:szCs w:val="21"/>
              </w:rPr>
              <w:t>实施</w:t>
            </w:r>
          </w:p>
        </w:tc>
        <w:tc>
          <w:tcPr>
            <w:tcW w:w="564" w:type="pct"/>
            <w:vAlign w:val="center"/>
          </w:tcPr>
          <w:p w14:paraId="5CF36209">
            <w:pPr>
              <w:ind w:left="-53" w:leftChars="-25" w:right="-53" w:rightChars="-25"/>
              <w:jc w:val="center"/>
              <w:rPr>
                <w:rFonts w:eastAsia="宋体" w:cs="Times New Roman"/>
                <w:bCs/>
                <w:szCs w:val="21"/>
              </w:rPr>
            </w:pPr>
            <w:r>
              <w:rPr>
                <w:rFonts w:eastAsia="宋体" w:cs="Times New Roman"/>
                <w:bCs/>
                <w:szCs w:val="21"/>
              </w:rPr>
              <w:t>已完成</w:t>
            </w:r>
          </w:p>
        </w:tc>
        <w:tc>
          <w:tcPr>
            <w:tcW w:w="483" w:type="pct"/>
            <w:vAlign w:val="center"/>
          </w:tcPr>
          <w:p w14:paraId="0004DD39">
            <w:pPr>
              <w:ind w:left="-53" w:leftChars="-25" w:right="-53" w:rightChars="-25"/>
              <w:jc w:val="center"/>
              <w:rPr>
                <w:rFonts w:eastAsia="宋体" w:cs="Times New Roman"/>
                <w:bCs/>
                <w:szCs w:val="21"/>
              </w:rPr>
            </w:pPr>
            <w:r>
              <w:rPr>
                <w:rFonts w:eastAsia="宋体" w:cs="Times New Roman"/>
                <w:bCs/>
                <w:szCs w:val="21"/>
              </w:rPr>
              <w:t>实施</w:t>
            </w:r>
          </w:p>
        </w:tc>
        <w:tc>
          <w:tcPr>
            <w:tcW w:w="479" w:type="pct"/>
            <w:vAlign w:val="center"/>
          </w:tcPr>
          <w:p w14:paraId="55A78F6D">
            <w:pPr>
              <w:ind w:left="-53" w:leftChars="-25" w:right="-53" w:rightChars="-25"/>
              <w:jc w:val="center"/>
              <w:rPr>
                <w:rFonts w:eastAsia="宋体" w:cs="Times New Roman"/>
                <w:bCs/>
                <w:szCs w:val="21"/>
              </w:rPr>
            </w:pPr>
            <w:r>
              <w:rPr>
                <w:rFonts w:eastAsia="宋体" w:cs="Times New Roman"/>
                <w:bCs/>
                <w:szCs w:val="21"/>
              </w:rPr>
              <w:t>实施</w:t>
            </w:r>
          </w:p>
        </w:tc>
        <w:tc>
          <w:tcPr>
            <w:tcW w:w="465" w:type="pct"/>
            <w:vAlign w:val="center"/>
          </w:tcPr>
          <w:p w14:paraId="18361986">
            <w:pPr>
              <w:ind w:left="-53" w:leftChars="-25" w:right="-53" w:rightChars="-25"/>
              <w:jc w:val="center"/>
              <w:rPr>
                <w:rFonts w:eastAsia="宋体" w:cs="Times New Roman"/>
                <w:bCs/>
                <w:szCs w:val="21"/>
              </w:rPr>
            </w:pPr>
            <w:r>
              <w:rPr>
                <w:rFonts w:eastAsia="宋体" w:cs="Times New Roman"/>
                <w:bCs/>
                <w:szCs w:val="21"/>
              </w:rPr>
              <w:t>实施</w:t>
            </w:r>
          </w:p>
        </w:tc>
        <w:tc>
          <w:tcPr>
            <w:tcW w:w="299" w:type="pct"/>
            <w:vAlign w:val="center"/>
          </w:tcPr>
          <w:p w14:paraId="6E7DF19C">
            <w:pPr>
              <w:ind w:left="-53" w:leftChars="-25" w:right="-53" w:rightChars="-25"/>
              <w:jc w:val="center"/>
              <w:rPr>
                <w:rFonts w:eastAsia="宋体" w:cs="Times New Roman"/>
                <w:szCs w:val="21"/>
              </w:rPr>
            </w:pPr>
            <w:r>
              <w:rPr>
                <w:rFonts w:eastAsia="宋体" w:cs="Times New Roman"/>
                <w:bCs/>
                <w:szCs w:val="21"/>
              </w:rPr>
              <w:t>约束性</w:t>
            </w:r>
          </w:p>
        </w:tc>
      </w:tr>
      <w:tr w14:paraId="477636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4" w:type="pct"/>
            <w:vMerge w:val="continue"/>
            <w:vAlign w:val="center"/>
          </w:tcPr>
          <w:p w14:paraId="64DCA581">
            <w:pPr>
              <w:ind w:left="-53" w:leftChars="-25" w:right="-53" w:rightChars="-25"/>
              <w:jc w:val="center"/>
              <w:rPr>
                <w:rFonts w:eastAsia="宋体" w:cs="Times New Roman"/>
                <w:szCs w:val="21"/>
              </w:rPr>
            </w:pPr>
          </w:p>
        </w:tc>
        <w:tc>
          <w:tcPr>
            <w:tcW w:w="260" w:type="pct"/>
            <w:vMerge w:val="continue"/>
            <w:vAlign w:val="center"/>
          </w:tcPr>
          <w:p w14:paraId="7FC634AE">
            <w:pPr>
              <w:ind w:left="-53" w:leftChars="-25" w:right="-53" w:rightChars="-25"/>
              <w:rPr>
                <w:rFonts w:eastAsia="宋体" w:cs="Times New Roman"/>
                <w:szCs w:val="21"/>
              </w:rPr>
            </w:pPr>
          </w:p>
        </w:tc>
        <w:tc>
          <w:tcPr>
            <w:tcW w:w="162" w:type="pct"/>
            <w:vAlign w:val="center"/>
          </w:tcPr>
          <w:p w14:paraId="71DFE9D9">
            <w:pPr>
              <w:ind w:left="-53" w:leftChars="-25" w:right="-53" w:rightChars="-25"/>
              <w:jc w:val="center"/>
              <w:rPr>
                <w:rFonts w:eastAsia="宋体" w:cs="Times New Roman"/>
                <w:szCs w:val="21"/>
              </w:rPr>
            </w:pPr>
            <w:r>
              <w:rPr>
                <w:rFonts w:eastAsia="宋体" w:cs="Times New Roman"/>
                <w:szCs w:val="21"/>
              </w:rPr>
              <w:t>6</w:t>
            </w:r>
          </w:p>
        </w:tc>
        <w:tc>
          <w:tcPr>
            <w:tcW w:w="1001" w:type="pct"/>
            <w:vAlign w:val="center"/>
          </w:tcPr>
          <w:p w14:paraId="361B26BD">
            <w:pPr>
              <w:ind w:left="-53" w:leftChars="-25" w:right="-53" w:rightChars="-25"/>
              <w:rPr>
                <w:rFonts w:eastAsia="宋体" w:cs="Times New Roman"/>
                <w:szCs w:val="21"/>
              </w:rPr>
            </w:pPr>
            <w:r>
              <w:rPr>
                <w:rFonts w:eastAsia="宋体" w:cs="Times New Roman"/>
                <w:bCs/>
                <w:szCs w:val="21"/>
              </w:rPr>
              <w:t>河湖长制</w:t>
            </w:r>
          </w:p>
        </w:tc>
        <w:tc>
          <w:tcPr>
            <w:tcW w:w="222" w:type="pct"/>
            <w:vAlign w:val="center"/>
          </w:tcPr>
          <w:p w14:paraId="4AA9F2B5">
            <w:pPr>
              <w:ind w:left="-53" w:leftChars="-25" w:right="-53" w:rightChars="-25"/>
              <w:jc w:val="center"/>
              <w:rPr>
                <w:rFonts w:eastAsia="宋体" w:cs="Times New Roman"/>
                <w:szCs w:val="21"/>
              </w:rPr>
            </w:pPr>
            <w:r>
              <w:rPr>
                <w:rFonts w:eastAsia="宋体" w:cs="Times New Roman"/>
                <w:szCs w:val="21"/>
              </w:rPr>
              <w:t>-</w:t>
            </w:r>
          </w:p>
        </w:tc>
        <w:tc>
          <w:tcPr>
            <w:tcW w:w="433" w:type="pct"/>
            <w:vAlign w:val="center"/>
          </w:tcPr>
          <w:p w14:paraId="74D0DF9E">
            <w:pPr>
              <w:ind w:left="-53" w:leftChars="-25" w:right="-53" w:rightChars="-25"/>
              <w:jc w:val="center"/>
              <w:rPr>
                <w:rFonts w:eastAsia="宋体" w:cs="Times New Roman"/>
                <w:szCs w:val="21"/>
              </w:rPr>
            </w:pPr>
            <w:r>
              <w:rPr>
                <w:rFonts w:eastAsia="宋体" w:cs="Times New Roman"/>
                <w:bCs/>
                <w:szCs w:val="21"/>
              </w:rPr>
              <w:t>全面实施</w:t>
            </w:r>
          </w:p>
        </w:tc>
        <w:tc>
          <w:tcPr>
            <w:tcW w:w="473" w:type="pct"/>
            <w:vAlign w:val="center"/>
          </w:tcPr>
          <w:p w14:paraId="0C1FB6C0">
            <w:pPr>
              <w:ind w:left="-53" w:leftChars="-25" w:right="-53" w:rightChars="-25"/>
              <w:jc w:val="center"/>
              <w:rPr>
                <w:rFonts w:eastAsia="宋体" w:cs="Times New Roman"/>
                <w:szCs w:val="21"/>
              </w:rPr>
            </w:pPr>
            <w:r>
              <w:rPr>
                <w:rFonts w:eastAsia="宋体" w:cs="Times New Roman"/>
                <w:bCs/>
                <w:szCs w:val="21"/>
              </w:rPr>
              <w:t>全面实施</w:t>
            </w:r>
          </w:p>
        </w:tc>
        <w:tc>
          <w:tcPr>
            <w:tcW w:w="564" w:type="pct"/>
            <w:vAlign w:val="center"/>
          </w:tcPr>
          <w:p w14:paraId="37B28B17">
            <w:pPr>
              <w:ind w:left="-53" w:leftChars="-25" w:right="-53" w:rightChars="-25"/>
              <w:jc w:val="center"/>
              <w:rPr>
                <w:rFonts w:eastAsia="宋体" w:cs="Times New Roman"/>
                <w:szCs w:val="21"/>
              </w:rPr>
            </w:pPr>
            <w:r>
              <w:rPr>
                <w:rFonts w:eastAsia="宋体" w:cs="Times New Roman"/>
                <w:bCs/>
                <w:szCs w:val="21"/>
              </w:rPr>
              <w:t>已完成</w:t>
            </w:r>
          </w:p>
        </w:tc>
        <w:tc>
          <w:tcPr>
            <w:tcW w:w="483" w:type="pct"/>
            <w:vAlign w:val="center"/>
          </w:tcPr>
          <w:p w14:paraId="578EB2B1">
            <w:pPr>
              <w:ind w:left="-53" w:leftChars="-25" w:right="-53" w:rightChars="-25"/>
              <w:jc w:val="center"/>
              <w:rPr>
                <w:rFonts w:eastAsia="宋体" w:cs="Times New Roman"/>
                <w:bCs/>
                <w:szCs w:val="21"/>
              </w:rPr>
            </w:pPr>
            <w:r>
              <w:rPr>
                <w:rFonts w:eastAsia="宋体" w:cs="Times New Roman"/>
                <w:bCs/>
                <w:szCs w:val="21"/>
              </w:rPr>
              <w:t>全面实施</w:t>
            </w:r>
          </w:p>
        </w:tc>
        <w:tc>
          <w:tcPr>
            <w:tcW w:w="479" w:type="pct"/>
            <w:vAlign w:val="center"/>
          </w:tcPr>
          <w:p w14:paraId="186A1921">
            <w:pPr>
              <w:ind w:left="-53" w:leftChars="-25" w:right="-53" w:rightChars="-25"/>
              <w:jc w:val="center"/>
              <w:rPr>
                <w:rFonts w:eastAsia="宋体" w:cs="Times New Roman"/>
                <w:bCs/>
                <w:szCs w:val="21"/>
              </w:rPr>
            </w:pPr>
            <w:r>
              <w:rPr>
                <w:rFonts w:eastAsia="宋体" w:cs="Times New Roman"/>
                <w:bCs/>
                <w:szCs w:val="21"/>
              </w:rPr>
              <w:t>全面实施</w:t>
            </w:r>
          </w:p>
        </w:tc>
        <w:tc>
          <w:tcPr>
            <w:tcW w:w="465" w:type="pct"/>
            <w:vAlign w:val="center"/>
          </w:tcPr>
          <w:p w14:paraId="3952BEE3">
            <w:pPr>
              <w:ind w:left="-53" w:leftChars="-25" w:right="-53" w:rightChars="-25"/>
              <w:jc w:val="center"/>
              <w:rPr>
                <w:rFonts w:eastAsia="宋体" w:cs="Times New Roman"/>
                <w:bCs/>
                <w:szCs w:val="21"/>
              </w:rPr>
            </w:pPr>
            <w:r>
              <w:rPr>
                <w:rFonts w:eastAsia="宋体" w:cs="Times New Roman"/>
                <w:bCs/>
                <w:szCs w:val="21"/>
              </w:rPr>
              <w:t>全面实施</w:t>
            </w:r>
          </w:p>
        </w:tc>
        <w:tc>
          <w:tcPr>
            <w:tcW w:w="299" w:type="pct"/>
            <w:vAlign w:val="center"/>
          </w:tcPr>
          <w:p w14:paraId="3671D146">
            <w:pPr>
              <w:ind w:left="-53" w:leftChars="-25" w:right="-53" w:rightChars="-25"/>
              <w:jc w:val="center"/>
              <w:rPr>
                <w:rFonts w:eastAsia="宋体" w:cs="Times New Roman"/>
                <w:szCs w:val="21"/>
              </w:rPr>
            </w:pPr>
            <w:r>
              <w:rPr>
                <w:rFonts w:eastAsia="宋体" w:cs="Times New Roman"/>
                <w:bCs/>
                <w:szCs w:val="21"/>
              </w:rPr>
              <w:t>约束性</w:t>
            </w:r>
          </w:p>
        </w:tc>
      </w:tr>
      <w:tr w14:paraId="4D7BF3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4" w:type="pct"/>
            <w:vMerge w:val="continue"/>
            <w:vAlign w:val="center"/>
          </w:tcPr>
          <w:p w14:paraId="1D2353E4">
            <w:pPr>
              <w:ind w:left="-53" w:leftChars="-25" w:right="-53" w:rightChars="-25"/>
              <w:jc w:val="center"/>
              <w:rPr>
                <w:rFonts w:eastAsia="宋体" w:cs="Times New Roman"/>
                <w:szCs w:val="21"/>
              </w:rPr>
            </w:pPr>
          </w:p>
        </w:tc>
        <w:tc>
          <w:tcPr>
            <w:tcW w:w="260" w:type="pct"/>
            <w:vMerge w:val="continue"/>
            <w:vAlign w:val="center"/>
          </w:tcPr>
          <w:p w14:paraId="6F560D9E">
            <w:pPr>
              <w:ind w:left="-53" w:leftChars="-25" w:right="-53" w:rightChars="-25"/>
              <w:rPr>
                <w:rFonts w:eastAsia="宋体" w:cs="Times New Roman"/>
                <w:szCs w:val="21"/>
              </w:rPr>
            </w:pPr>
          </w:p>
        </w:tc>
        <w:tc>
          <w:tcPr>
            <w:tcW w:w="162" w:type="pct"/>
            <w:vAlign w:val="center"/>
          </w:tcPr>
          <w:p w14:paraId="535564A7">
            <w:pPr>
              <w:ind w:left="-53" w:leftChars="-25" w:right="-53" w:rightChars="-25"/>
              <w:jc w:val="center"/>
              <w:rPr>
                <w:rFonts w:eastAsia="宋体" w:cs="Times New Roman"/>
                <w:szCs w:val="21"/>
              </w:rPr>
            </w:pPr>
            <w:r>
              <w:rPr>
                <w:rFonts w:eastAsia="宋体" w:cs="Times New Roman"/>
                <w:szCs w:val="21"/>
              </w:rPr>
              <w:t>7</w:t>
            </w:r>
          </w:p>
        </w:tc>
        <w:tc>
          <w:tcPr>
            <w:tcW w:w="1001" w:type="pct"/>
            <w:vAlign w:val="center"/>
          </w:tcPr>
          <w:p w14:paraId="0E03370F">
            <w:pPr>
              <w:ind w:left="-53" w:leftChars="-25" w:right="-53" w:rightChars="-25"/>
              <w:rPr>
                <w:rFonts w:eastAsia="宋体" w:cs="Times New Roman"/>
                <w:szCs w:val="21"/>
              </w:rPr>
            </w:pPr>
            <w:r>
              <w:rPr>
                <w:rFonts w:eastAsia="宋体" w:cs="Times New Roman"/>
                <w:bCs/>
                <w:szCs w:val="21"/>
              </w:rPr>
              <w:t>排污许可证监督管理</w:t>
            </w:r>
          </w:p>
        </w:tc>
        <w:tc>
          <w:tcPr>
            <w:tcW w:w="222" w:type="pct"/>
            <w:vAlign w:val="center"/>
          </w:tcPr>
          <w:p w14:paraId="2C63EC81">
            <w:pPr>
              <w:ind w:left="-53" w:leftChars="-25" w:right="-53" w:rightChars="-25"/>
              <w:jc w:val="center"/>
              <w:rPr>
                <w:rFonts w:eastAsia="宋体" w:cs="Times New Roman"/>
                <w:szCs w:val="21"/>
              </w:rPr>
            </w:pPr>
            <w:r>
              <w:rPr>
                <w:rFonts w:eastAsia="宋体" w:cs="Times New Roman"/>
                <w:szCs w:val="21"/>
              </w:rPr>
              <w:t>-</w:t>
            </w:r>
          </w:p>
        </w:tc>
        <w:tc>
          <w:tcPr>
            <w:tcW w:w="433" w:type="pct"/>
            <w:vAlign w:val="center"/>
          </w:tcPr>
          <w:p w14:paraId="1074D13B">
            <w:pPr>
              <w:ind w:left="-53" w:leftChars="-25" w:right="-53" w:rightChars="-25"/>
              <w:jc w:val="center"/>
              <w:rPr>
                <w:rFonts w:eastAsia="宋体" w:cs="Times New Roman"/>
                <w:szCs w:val="21"/>
              </w:rPr>
            </w:pPr>
            <w:r>
              <w:rPr>
                <w:rFonts w:eastAsia="宋体" w:cs="Times New Roman"/>
                <w:bCs/>
                <w:szCs w:val="21"/>
              </w:rPr>
              <w:t>开展</w:t>
            </w:r>
          </w:p>
        </w:tc>
        <w:tc>
          <w:tcPr>
            <w:tcW w:w="473" w:type="pct"/>
            <w:vAlign w:val="center"/>
          </w:tcPr>
          <w:p w14:paraId="6C8B7908">
            <w:pPr>
              <w:ind w:left="-53" w:leftChars="-25" w:right="-53" w:rightChars="-25"/>
              <w:jc w:val="center"/>
              <w:rPr>
                <w:rFonts w:eastAsia="宋体" w:cs="Times New Roman"/>
                <w:szCs w:val="21"/>
              </w:rPr>
            </w:pPr>
            <w:r>
              <w:rPr>
                <w:rFonts w:eastAsia="宋体" w:cs="Times New Roman"/>
                <w:bCs/>
                <w:szCs w:val="21"/>
              </w:rPr>
              <w:t>开展</w:t>
            </w:r>
          </w:p>
        </w:tc>
        <w:tc>
          <w:tcPr>
            <w:tcW w:w="564" w:type="pct"/>
            <w:vAlign w:val="center"/>
          </w:tcPr>
          <w:p w14:paraId="3DAF1561">
            <w:pPr>
              <w:ind w:left="-53" w:leftChars="-25" w:right="-53" w:rightChars="-25"/>
              <w:jc w:val="center"/>
              <w:rPr>
                <w:rFonts w:eastAsia="宋体" w:cs="Times New Roman"/>
                <w:szCs w:val="21"/>
              </w:rPr>
            </w:pPr>
            <w:r>
              <w:rPr>
                <w:rFonts w:eastAsia="宋体" w:cs="Times New Roman"/>
                <w:bCs/>
                <w:szCs w:val="21"/>
              </w:rPr>
              <w:t>已完成</w:t>
            </w:r>
          </w:p>
        </w:tc>
        <w:tc>
          <w:tcPr>
            <w:tcW w:w="483" w:type="pct"/>
            <w:vAlign w:val="center"/>
          </w:tcPr>
          <w:p w14:paraId="00D3EC41">
            <w:pPr>
              <w:ind w:left="-53" w:leftChars="-25" w:right="-53" w:rightChars="-25"/>
              <w:jc w:val="center"/>
              <w:rPr>
                <w:rFonts w:eastAsia="宋体" w:cs="Times New Roman"/>
                <w:bCs/>
                <w:szCs w:val="21"/>
              </w:rPr>
            </w:pPr>
            <w:r>
              <w:rPr>
                <w:rFonts w:eastAsia="宋体" w:cs="Times New Roman"/>
                <w:bCs/>
                <w:szCs w:val="21"/>
              </w:rPr>
              <w:t>开展</w:t>
            </w:r>
          </w:p>
        </w:tc>
        <w:tc>
          <w:tcPr>
            <w:tcW w:w="479" w:type="pct"/>
            <w:vAlign w:val="center"/>
          </w:tcPr>
          <w:p w14:paraId="5D1B2E10">
            <w:pPr>
              <w:ind w:left="-53" w:leftChars="-25" w:right="-53" w:rightChars="-25"/>
              <w:jc w:val="center"/>
              <w:rPr>
                <w:rFonts w:eastAsia="宋体" w:cs="Times New Roman"/>
                <w:bCs/>
                <w:szCs w:val="21"/>
              </w:rPr>
            </w:pPr>
            <w:r>
              <w:rPr>
                <w:rFonts w:eastAsia="宋体" w:cs="Times New Roman"/>
                <w:bCs/>
                <w:szCs w:val="21"/>
              </w:rPr>
              <w:t>开展</w:t>
            </w:r>
          </w:p>
        </w:tc>
        <w:tc>
          <w:tcPr>
            <w:tcW w:w="465" w:type="pct"/>
            <w:vAlign w:val="center"/>
          </w:tcPr>
          <w:p w14:paraId="76C2FB58">
            <w:pPr>
              <w:ind w:left="-53" w:leftChars="-25" w:right="-53" w:rightChars="-25"/>
              <w:jc w:val="center"/>
              <w:rPr>
                <w:rFonts w:eastAsia="宋体" w:cs="Times New Roman"/>
                <w:bCs/>
                <w:szCs w:val="21"/>
              </w:rPr>
            </w:pPr>
            <w:r>
              <w:rPr>
                <w:rFonts w:eastAsia="宋体" w:cs="Times New Roman"/>
                <w:bCs/>
                <w:szCs w:val="21"/>
              </w:rPr>
              <w:t>开展</w:t>
            </w:r>
          </w:p>
        </w:tc>
        <w:tc>
          <w:tcPr>
            <w:tcW w:w="299" w:type="pct"/>
            <w:vAlign w:val="center"/>
          </w:tcPr>
          <w:p w14:paraId="31315AFA">
            <w:pPr>
              <w:ind w:left="-53" w:leftChars="-25" w:right="-53" w:rightChars="-25"/>
              <w:jc w:val="center"/>
              <w:rPr>
                <w:rFonts w:eastAsia="宋体" w:cs="Times New Roman"/>
                <w:szCs w:val="21"/>
              </w:rPr>
            </w:pPr>
            <w:r>
              <w:rPr>
                <w:rFonts w:eastAsia="宋体" w:cs="Times New Roman"/>
                <w:bCs/>
                <w:szCs w:val="21"/>
              </w:rPr>
              <w:t>约束性</w:t>
            </w:r>
          </w:p>
        </w:tc>
      </w:tr>
      <w:tr w14:paraId="2D184C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4" w:type="pct"/>
            <w:vMerge w:val="continue"/>
            <w:vAlign w:val="center"/>
          </w:tcPr>
          <w:p w14:paraId="274B786B">
            <w:pPr>
              <w:ind w:left="-53" w:leftChars="-25" w:right="-53" w:rightChars="-25"/>
              <w:jc w:val="center"/>
              <w:rPr>
                <w:rFonts w:eastAsia="宋体" w:cs="Times New Roman"/>
                <w:szCs w:val="21"/>
              </w:rPr>
            </w:pPr>
          </w:p>
        </w:tc>
        <w:tc>
          <w:tcPr>
            <w:tcW w:w="260" w:type="pct"/>
            <w:vMerge w:val="continue"/>
            <w:vAlign w:val="center"/>
          </w:tcPr>
          <w:p w14:paraId="15575600">
            <w:pPr>
              <w:ind w:left="-53" w:leftChars="-25" w:right="-53" w:rightChars="-25"/>
              <w:rPr>
                <w:rFonts w:eastAsia="宋体" w:cs="Times New Roman"/>
                <w:szCs w:val="21"/>
              </w:rPr>
            </w:pPr>
          </w:p>
        </w:tc>
        <w:tc>
          <w:tcPr>
            <w:tcW w:w="162" w:type="pct"/>
            <w:vAlign w:val="center"/>
          </w:tcPr>
          <w:p w14:paraId="528AE928">
            <w:pPr>
              <w:ind w:left="-53" w:leftChars="-25" w:right="-53" w:rightChars="-25"/>
              <w:jc w:val="center"/>
              <w:rPr>
                <w:rFonts w:eastAsia="宋体" w:cs="Times New Roman"/>
                <w:szCs w:val="21"/>
              </w:rPr>
            </w:pPr>
            <w:r>
              <w:rPr>
                <w:rFonts w:eastAsia="宋体" w:cs="Times New Roman"/>
                <w:szCs w:val="21"/>
              </w:rPr>
              <w:t>8</w:t>
            </w:r>
          </w:p>
        </w:tc>
        <w:tc>
          <w:tcPr>
            <w:tcW w:w="1001" w:type="pct"/>
            <w:vAlign w:val="center"/>
          </w:tcPr>
          <w:p w14:paraId="361F9559">
            <w:pPr>
              <w:ind w:left="-53" w:leftChars="-25" w:right="-53" w:rightChars="-25"/>
              <w:rPr>
                <w:rFonts w:eastAsia="宋体" w:cs="Times New Roman"/>
                <w:szCs w:val="21"/>
              </w:rPr>
            </w:pPr>
            <w:r>
              <w:rPr>
                <w:rFonts w:eastAsia="宋体" w:cs="Times New Roman"/>
                <w:bCs/>
                <w:szCs w:val="21"/>
              </w:rPr>
              <w:t>生态环境信息公开率</w:t>
            </w:r>
          </w:p>
        </w:tc>
        <w:tc>
          <w:tcPr>
            <w:tcW w:w="222" w:type="pct"/>
            <w:vAlign w:val="center"/>
          </w:tcPr>
          <w:p w14:paraId="74B14DCC">
            <w:pPr>
              <w:ind w:left="-53" w:leftChars="-25" w:right="-53" w:rightChars="-25"/>
              <w:jc w:val="center"/>
              <w:rPr>
                <w:rFonts w:eastAsia="宋体" w:cs="Times New Roman"/>
                <w:szCs w:val="21"/>
              </w:rPr>
            </w:pPr>
            <w:r>
              <w:rPr>
                <w:rFonts w:eastAsia="宋体" w:cs="Times New Roman"/>
                <w:szCs w:val="21"/>
              </w:rPr>
              <w:t>%</w:t>
            </w:r>
          </w:p>
        </w:tc>
        <w:tc>
          <w:tcPr>
            <w:tcW w:w="433" w:type="pct"/>
            <w:vAlign w:val="center"/>
          </w:tcPr>
          <w:p w14:paraId="51027C7A">
            <w:pPr>
              <w:ind w:left="-53" w:leftChars="-25" w:right="-53" w:rightChars="-25"/>
              <w:jc w:val="center"/>
              <w:rPr>
                <w:rFonts w:eastAsia="宋体" w:cs="Times New Roman"/>
                <w:szCs w:val="21"/>
              </w:rPr>
            </w:pPr>
            <w:r>
              <w:rPr>
                <w:rFonts w:eastAsia="宋体" w:cs="Times New Roman"/>
                <w:szCs w:val="21"/>
              </w:rPr>
              <w:t>100</w:t>
            </w:r>
          </w:p>
        </w:tc>
        <w:tc>
          <w:tcPr>
            <w:tcW w:w="473" w:type="pct"/>
            <w:vAlign w:val="center"/>
          </w:tcPr>
          <w:p w14:paraId="676E276A">
            <w:pPr>
              <w:ind w:left="-53" w:leftChars="-25" w:right="-53" w:rightChars="-25"/>
              <w:jc w:val="center"/>
              <w:rPr>
                <w:rFonts w:eastAsia="宋体" w:cs="Times New Roman"/>
                <w:szCs w:val="21"/>
              </w:rPr>
            </w:pPr>
            <w:r>
              <w:rPr>
                <w:rFonts w:eastAsia="宋体" w:cs="Times New Roman"/>
                <w:szCs w:val="21"/>
              </w:rPr>
              <w:t>100</w:t>
            </w:r>
          </w:p>
        </w:tc>
        <w:tc>
          <w:tcPr>
            <w:tcW w:w="564" w:type="pct"/>
            <w:vAlign w:val="center"/>
          </w:tcPr>
          <w:p w14:paraId="07EAF836">
            <w:pPr>
              <w:ind w:left="-53" w:leftChars="-25" w:right="-53" w:rightChars="-25"/>
              <w:jc w:val="center"/>
              <w:rPr>
                <w:rFonts w:eastAsia="宋体" w:cs="Times New Roman"/>
                <w:szCs w:val="21"/>
              </w:rPr>
            </w:pPr>
            <w:r>
              <w:rPr>
                <w:rFonts w:eastAsia="宋体" w:cs="Times New Roman"/>
                <w:bCs/>
                <w:szCs w:val="21"/>
              </w:rPr>
              <w:t>已完成</w:t>
            </w:r>
          </w:p>
        </w:tc>
        <w:tc>
          <w:tcPr>
            <w:tcW w:w="483" w:type="pct"/>
            <w:vAlign w:val="center"/>
          </w:tcPr>
          <w:p w14:paraId="5C40D5E7">
            <w:pPr>
              <w:ind w:left="-53" w:leftChars="-25" w:right="-53" w:rightChars="-25"/>
              <w:jc w:val="center"/>
              <w:rPr>
                <w:rFonts w:eastAsia="宋体" w:cs="Times New Roman"/>
                <w:bCs/>
                <w:szCs w:val="21"/>
              </w:rPr>
            </w:pPr>
            <w:r>
              <w:rPr>
                <w:rFonts w:eastAsia="宋体" w:cs="Times New Roman"/>
                <w:szCs w:val="21"/>
              </w:rPr>
              <w:t>100</w:t>
            </w:r>
          </w:p>
        </w:tc>
        <w:tc>
          <w:tcPr>
            <w:tcW w:w="479" w:type="pct"/>
            <w:vAlign w:val="center"/>
          </w:tcPr>
          <w:p w14:paraId="3E5AF827">
            <w:pPr>
              <w:ind w:left="-53" w:leftChars="-25" w:right="-53" w:rightChars="-25"/>
              <w:jc w:val="center"/>
              <w:rPr>
                <w:rFonts w:eastAsia="宋体" w:cs="Times New Roman"/>
                <w:bCs/>
                <w:szCs w:val="21"/>
              </w:rPr>
            </w:pPr>
            <w:r>
              <w:rPr>
                <w:rFonts w:eastAsia="宋体" w:cs="Times New Roman"/>
                <w:szCs w:val="21"/>
              </w:rPr>
              <w:t>100</w:t>
            </w:r>
          </w:p>
        </w:tc>
        <w:tc>
          <w:tcPr>
            <w:tcW w:w="465" w:type="pct"/>
            <w:vAlign w:val="center"/>
          </w:tcPr>
          <w:p w14:paraId="42EEC5F6">
            <w:pPr>
              <w:ind w:left="-53" w:leftChars="-25" w:right="-53" w:rightChars="-25"/>
              <w:jc w:val="center"/>
              <w:rPr>
                <w:rFonts w:eastAsia="宋体" w:cs="Times New Roman"/>
                <w:bCs/>
                <w:szCs w:val="21"/>
              </w:rPr>
            </w:pPr>
            <w:r>
              <w:rPr>
                <w:rFonts w:eastAsia="宋体" w:cs="Times New Roman"/>
                <w:szCs w:val="21"/>
              </w:rPr>
              <w:t>100</w:t>
            </w:r>
          </w:p>
        </w:tc>
        <w:tc>
          <w:tcPr>
            <w:tcW w:w="299" w:type="pct"/>
            <w:vAlign w:val="center"/>
          </w:tcPr>
          <w:p w14:paraId="5D2D4761">
            <w:pPr>
              <w:ind w:left="-53" w:leftChars="-25" w:right="-53" w:rightChars="-25"/>
              <w:jc w:val="center"/>
              <w:rPr>
                <w:rFonts w:eastAsia="宋体" w:cs="Times New Roman"/>
                <w:szCs w:val="21"/>
              </w:rPr>
            </w:pPr>
            <w:r>
              <w:rPr>
                <w:rFonts w:eastAsia="宋体" w:cs="Times New Roman"/>
                <w:bCs/>
                <w:szCs w:val="21"/>
              </w:rPr>
              <w:t>约束性</w:t>
            </w:r>
          </w:p>
        </w:tc>
      </w:tr>
      <w:tr w14:paraId="0838A1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4" w:type="pct"/>
            <w:vMerge w:val="continue"/>
            <w:vAlign w:val="center"/>
          </w:tcPr>
          <w:p w14:paraId="1835D2B1">
            <w:pPr>
              <w:ind w:left="-53" w:leftChars="-25" w:right="-53" w:rightChars="-25"/>
              <w:jc w:val="center"/>
              <w:rPr>
                <w:rFonts w:eastAsia="宋体" w:cs="Times New Roman"/>
                <w:szCs w:val="21"/>
              </w:rPr>
            </w:pPr>
          </w:p>
        </w:tc>
        <w:tc>
          <w:tcPr>
            <w:tcW w:w="260" w:type="pct"/>
            <w:vMerge w:val="continue"/>
            <w:vAlign w:val="center"/>
          </w:tcPr>
          <w:p w14:paraId="63E09A67">
            <w:pPr>
              <w:ind w:left="-53" w:leftChars="-25" w:right="-53" w:rightChars="-25"/>
              <w:rPr>
                <w:rFonts w:eastAsia="宋体" w:cs="Times New Roman"/>
                <w:szCs w:val="21"/>
              </w:rPr>
            </w:pPr>
          </w:p>
        </w:tc>
        <w:tc>
          <w:tcPr>
            <w:tcW w:w="162" w:type="pct"/>
            <w:vAlign w:val="center"/>
          </w:tcPr>
          <w:p w14:paraId="3A9053E9">
            <w:pPr>
              <w:ind w:left="-53" w:leftChars="-25" w:right="-53" w:rightChars="-25"/>
              <w:jc w:val="center"/>
              <w:rPr>
                <w:rFonts w:eastAsia="宋体" w:cs="Times New Roman"/>
                <w:szCs w:val="21"/>
              </w:rPr>
            </w:pPr>
            <w:r>
              <w:rPr>
                <w:rFonts w:eastAsia="宋体" w:cs="Times New Roman"/>
                <w:szCs w:val="21"/>
              </w:rPr>
              <w:t>9</w:t>
            </w:r>
          </w:p>
        </w:tc>
        <w:tc>
          <w:tcPr>
            <w:tcW w:w="1001" w:type="pct"/>
            <w:vAlign w:val="center"/>
          </w:tcPr>
          <w:p w14:paraId="4DEFDA1A">
            <w:pPr>
              <w:ind w:left="-53" w:leftChars="-25" w:right="-53" w:rightChars="-25"/>
              <w:rPr>
                <w:rFonts w:eastAsia="宋体" w:cs="Times New Roman"/>
                <w:szCs w:val="21"/>
              </w:rPr>
            </w:pPr>
            <w:r>
              <w:rPr>
                <w:rFonts w:eastAsia="宋体" w:cs="Times New Roman"/>
                <w:bCs/>
                <w:szCs w:val="21"/>
              </w:rPr>
              <w:t>生态文明建设目标责任制</w:t>
            </w:r>
          </w:p>
        </w:tc>
        <w:tc>
          <w:tcPr>
            <w:tcW w:w="222" w:type="pct"/>
            <w:vAlign w:val="center"/>
          </w:tcPr>
          <w:p w14:paraId="058EE3BA">
            <w:pPr>
              <w:ind w:left="-53" w:leftChars="-25" w:right="-53" w:rightChars="-25"/>
              <w:jc w:val="center"/>
              <w:rPr>
                <w:rFonts w:eastAsia="宋体" w:cs="Times New Roman"/>
                <w:szCs w:val="21"/>
              </w:rPr>
            </w:pPr>
            <w:r>
              <w:rPr>
                <w:rFonts w:eastAsia="宋体" w:cs="Times New Roman"/>
                <w:szCs w:val="21"/>
              </w:rPr>
              <w:t>-</w:t>
            </w:r>
          </w:p>
        </w:tc>
        <w:tc>
          <w:tcPr>
            <w:tcW w:w="433" w:type="pct"/>
            <w:vAlign w:val="center"/>
          </w:tcPr>
          <w:p w14:paraId="55C30699">
            <w:pPr>
              <w:ind w:left="-53" w:leftChars="-25" w:right="-53" w:rightChars="-25"/>
              <w:jc w:val="center"/>
              <w:rPr>
                <w:rFonts w:eastAsia="宋体" w:cs="Times New Roman"/>
                <w:szCs w:val="21"/>
              </w:rPr>
            </w:pPr>
            <w:r>
              <w:rPr>
                <w:rFonts w:eastAsia="宋体" w:cs="Times New Roman"/>
                <w:bCs/>
                <w:szCs w:val="21"/>
              </w:rPr>
              <w:t>建立并实施</w:t>
            </w:r>
          </w:p>
        </w:tc>
        <w:tc>
          <w:tcPr>
            <w:tcW w:w="473" w:type="pct"/>
            <w:vAlign w:val="center"/>
          </w:tcPr>
          <w:p w14:paraId="35E105FB">
            <w:pPr>
              <w:ind w:left="-53" w:leftChars="-25" w:right="-53" w:rightChars="-25"/>
              <w:jc w:val="center"/>
              <w:rPr>
                <w:rFonts w:eastAsia="宋体" w:cs="Times New Roman"/>
                <w:szCs w:val="21"/>
              </w:rPr>
            </w:pPr>
            <w:r>
              <w:rPr>
                <w:rFonts w:eastAsia="宋体" w:cs="Times New Roman"/>
                <w:bCs/>
                <w:szCs w:val="21"/>
              </w:rPr>
              <w:t>建立并实施</w:t>
            </w:r>
          </w:p>
        </w:tc>
        <w:tc>
          <w:tcPr>
            <w:tcW w:w="564" w:type="pct"/>
            <w:vAlign w:val="center"/>
          </w:tcPr>
          <w:p w14:paraId="14AF4554">
            <w:pPr>
              <w:ind w:left="-53" w:leftChars="-25" w:right="-53" w:rightChars="-25"/>
              <w:jc w:val="center"/>
              <w:rPr>
                <w:rFonts w:eastAsia="宋体" w:cs="Times New Roman"/>
                <w:szCs w:val="21"/>
              </w:rPr>
            </w:pPr>
            <w:r>
              <w:rPr>
                <w:rFonts w:eastAsia="宋体" w:cs="Times New Roman"/>
                <w:bCs/>
                <w:szCs w:val="21"/>
              </w:rPr>
              <w:t>已完成</w:t>
            </w:r>
          </w:p>
        </w:tc>
        <w:tc>
          <w:tcPr>
            <w:tcW w:w="483" w:type="pct"/>
            <w:vAlign w:val="center"/>
          </w:tcPr>
          <w:p w14:paraId="23036482">
            <w:pPr>
              <w:ind w:left="-53" w:leftChars="-25" w:right="-53" w:rightChars="-25"/>
              <w:jc w:val="center"/>
              <w:rPr>
                <w:rFonts w:eastAsia="宋体" w:cs="Times New Roman"/>
                <w:bCs/>
                <w:szCs w:val="21"/>
              </w:rPr>
            </w:pPr>
            <w:r>
              <w:rPr>
                <w:rFonts w:eastAsia="宋体" w:cs="Times New Roman"/>
                <w:bCs/>
                <w:szCs w:val="21"/>
              </w:rPr>
              <w:t>建立并实施</w:t>
            </w:r>
          </w:p>
        </w:tc>
        <w:tc>
          <w:tcPr>
            <w:tcW w:w="479" w:type="pct"/>
            <w:vAlign w:val="center"/>
          </w:tcPr>
          <w:p w14:paraId="5433A385">
            <w:pPr>
              <w:ind w:left="-53" w:leftChars="-25" w:right="-53" w:rightChars="-25"/>
              <w:jc w:val="center"/>
              <w:rPr>
                <w:rFonts w:eastAsia="宋体" w:cs="Times New Roman"/>
                <w:bCs/>
                <w:szCs w:val="21"/>
              </w:rPr>
            </w:pPr>
            <w:r>
              <w:rPr>
                <w:rFonts w:eastAsia="宋体" w:cs="Times New Roman"/>
                <w:bCs/>
                <w:szCs w:val="21"/>
              </w:rPr>
              <w:t>建立并实施</w:t>
            </w:r>
          </w:p>
        </w:tc>
        <w:tc>
          <w:tcPr>
            <w:tcW w:w="465" w:type="pct"/>
            <w:vAlign w:val="center"/>
          </w:tcPr>
          <w:p w14:paraId="5C150C6B">
            <w:pPr>
              <w:ind w:left="-53" w:leftChars="-25" w:right="-53" w:rightChars="-25"/>
              <w:jc w:val="center"/>
              <w:rPr>
                <w:rFonts w:eastAsia="宋体" w:cs="Times New Roman"/>
                <w:bCs/>
                <w:szCs w:val="21"/>
              </w:rPr>
            </w:pPr>
            <w:r>
              <w:rPr>
                <w:rFonts w:eastAsia="宋体" w:cs="Times New Roman"/>
                <w:bCs/>
                <w:szCs w:val="21"/>
              </w:rPr>
              <w:t>建立并实施</w:t>
            </w:r>
          </w:p>
        </w:tc>
        <w:tc>
          <w:tcPr>
            <w:tcW w:w="299" w:type="pct"/>
            <w:vAlign w:val="center"/>
          </w:tcPr>
          <w:p w14:paraId="2E8A3C50">
            <w:pPr>
              <w:ind w:left="-53" w:leftChars="-25" w:right="-53" w:rightChars="-25"/>
              <w:jc w:val="center"/>
              <w:rPr>
                <w:rFonts w:eastAsia="宋体" w:cs="Times New Roman"/>
                <w:szCs w:val="21"/>
              </w:rPr>
            </w:pPr>
            <w:r>
              <w:rPr>
                <w:rFonts w:eastAsia="宋体" w:cs="Times New Roman"/>
                <w:bCs/>
                <w:szCs w:val="21"/>
              </w:rPr>
              <w:t>约束性</w:t>
            </w:r>
          </w:p>
        </w:tc>
      </w:tr>
      <w:tr w14:paraId="53E46E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4" w:type="pct"/>
            <w:vMerge w:val="continue"/>
            <w:vAlign w:val="center"/>
          </w:tcPr>
          <w:p w14:paraId="7FA8EB44">
            <w:pPr>
              <w:ind w:left="-53" w:leftChars="-25" w:right="-53" w:rightChars="-25"/>
              <w:jc w:val="center"/>
              <w:rPr>
                <w:rFonts w:eastAsia="宋体" w:cs="Times New Roman"/>
                <w:szCs w:val="21"/>
              </w:rPr>
            </w:pPr>
          </w:p>
        </w:tc>
        <w:tc>
          <w:tcPr>
            <w:tcW w:w="260" w:type="pct"/>
            <w:vMerge w:val="continue"/>
            <w:vAlign w:val="center"/>
          </w:tcPr>
          <w:p w14:paraId="0E569EAB">
            <w:pPr>
              <w:ind w:left="-53" w:leftChars="-25" w:right="-53" w:rightChars="-25"/>
              <w:rPr>
                <w:rFonts w:eastAsia="宋体" w:cs="Times New Roman"/>
                <w:szCs w:val="21"/>
              </w:rPr>
            </w:pPr>
          </w:p>
        </w:tc>
        <w:tc>
          <w:tcPr>
            <w:tcW w:w="162" w:type="pct"/>
            <w:vAlign w:val="center"/>
          </w:tcPr>
          <w:p w14:paraId="2C11CF7A">
            <w:pPr>
              <w:ind w:left="-53" w:leftChars="-25" w:right="-53" w:rightChars="-25"/>
              <w:jc w:val="center"/>
              <w:rPr>
                <w:rFonts w:eastAsia="宋体" w:cs="Times New Roman"/>
                <w:szCs w:val="21"/>
              </w:rPr>
            </w:pPr>
            <w:r>
              <w:rPr>
                <w:rFonts w:eastAsia="宋体" w:cs="Times New Roman"/>
                <w:szCs w:val="21"/>
              </w:rPr>
              <w:t>10</w:t>
            </w:r>
          </w:p>
        </w:tc>
        <w:tc>
          <w:tcPr>
            <w:tcW w:w="1001" w:type="pct"/>
            <w:vAlign w:val="center"/>
          </w:tcPr>
          <w:p w14:paraId="42514E7E">
            <w:pPr>
              <w:ind w:left="-53" w:leftChars="-25" w:right="-53" w:rightChars="-25"/>
              <w:rPr>
                <w:rFonts w:eastAsia="宋体" w:cs="Times New Roman"/>
                <w:szCs w:val="21"/>
              </w:rPr>
            </w:pPr>
            <w:r>
              <w:rPr>
                <w:rFonts w:eastAsia="宋体" w:cs="Times New Roman"/>
                <w:bCs/>
                <w:szCs w:val="21"/>
              </w:rPr>
              <w:t>党委政府对生态文明建设重大目标任务部署情况</w:t>
            </w:r>
          </w:p>
        </w:tc>
        <w:tc>
          <w:tcPr>
            <w:tcW w:w="222" w:type="pct"/>
            <w:vAlign w:val="center"/>
          </w:tcPr>
          <w:p w14:paraId="443D0314">
            <w:pPr>
              <w:ind w:left="-53" w:leftChars="-25" w:right="-53" w:rightChars="-25"/>
              <w:jc w:val="center"/>
              <w:rPr>
                <w:rFonts w:eastAsia="宋体" w:cs="Times New Roman"/>
                <w:szCs w:val="21"/>
              </w:rPr>
            </w:pPr>
            <w:r>
              <w:rPr>
                <w:rFonts w:eastAsia="宋体" w:cs="Times New Roman"/>
                <w:szCs w:val="21"/>
              </w:rPr>
              <w:t>-</w:t>
            </w:r>
          </w:p>
        </w:tc>
        <w:tc>
          <w:tcPr>
            <w:tcW w:w="433" w:type="pct"/>
            <w:vAlign w:val="center"/>
          </w:tcPr>
          <w:p w14:paraId="73ABDECB">
            <w:pPr>
              <w:ind w:left="-53" w:leftChars="-25" w:right="-53" w:rightChars="-25"/>
              <w:jc w:val="center"/>
              <w:rPr>
                <w:rFonts w:eastAsia="宋体" w:cs="Times New Roman"/>
                <w:szCs w:val="21"/>
              </w:rPr>
            </w:pPr>
            <w:r>
              <w:rPr>
                <w:rFonts w:eastAsia="宋体" w:cs="Times New Roman"/>
                <w:bCs/>
                <w:szCs w:val="21"/>
              </w:rPr>
              <w:t>有效开展</w:t>
            </w:r>
          </w:p>
        </w:tc>
        <w:tc>
          <w:tcPr>
            <w:tcW w:w="473" w:type="pct"/>
            <w:vAlign w:val="center"/>
          </w:tcPr>
          <w:p w14:paraId="238F0B5B">
            <w:pPr>
              <w:ind w:left="-53" w:leftChars="-25" w:right="-53" w:rightChars="-25"/>
              <w:jc w:val="center"/>
              <w:rPr>
                <w:rFonts w:eastAsia="宋体" w:cs="Times New Roman"/>
                <w:szCs w:val="21"/>
              </w:rPr>
            </w:pPr>
            <w:r>
              <w:rPr>
                <w:rFonts w:eastAsia="宋体" w:cs="Times New Roman"/>
                <w:bCs/>
                <w:szCs w:val="21"/>
              </w:rPr>
              <w:t>有效开展</w:t>
            </w:r>
          </w:p>
        </w:tc>
        <w:tc>
          <w:tcPr>
            <w:tcW w:w="564" w:type="pct"/>
            <w:vAlign w:val="center"/>
          </w:tcPr>
          <w:p w14:paraId="41B37468">
            <w:pPr>
              <w:ind w:left="-53" w:leftChars="-25" w:right="-53" w:rightChars="-25"/>
              <w:jc w:val="center"/>
              <w:rPr>
                <w:rFonts w:eastAsia="宋体" w:cs="Times New Roman"/>
                <w:szCs w:val="21"/>
              </w:rPr>
            </w:pPr>
            <w:r>
              <w:rPr>
                <w:rFonts w:eastAsia="宋体" w:cs="Times New Roman"/>
                <w:bCs/>
                <w:szCs w:val="21"/>
              </w:rPr>
              <w:t>已完成</w:t>
            </w:r>
          </w:p>
        </w:tc>
        <w:tc>
          <w:tcPr>
            <w:tcW w:w="483" w:type="pct"/>
            <w:vAlign w:val="center"/>
          </w:tcPr>
          <w:p w14:paraId="1C858529">
            <w:pPr>
              <w:ind w:left="-53" w:leftChars="-25" w:right="-53" w:rightChars="-25"/>
              <w:jc w:val="center"/>
              <w:rPr>
                <w:rFonts w:eastAsia="宋体" w:cs="Times New Roman"/>
                <w:bCs/>
                <w:szCs w:val="21"/>
              </w:rPr>
            </w:pPr>
            <w:r>
              <w:rPr>
                <w:rFonts w:eastAsia="宋体" w:cs="Times New Roman"/>
                <w:bCs/>
                <w:szCs w:val="21"/>
              </w:rPr>
              <w:t>有效开展</w:t>
            </w:r>
          </w:p>
        </w:tc>
        <w:tc>
          <w:tcPr>
            <w:tcW w:w="479" w:type="pct"/>
            <w:vAlign w:val="center"/>
          </w:tcPr>
          <w:p w14:paraId="49524565">
            <w:pPr>
              <w:ind w:left="-53" w:leftChars="-25" w:right="-53" w:rightChars="-25"/>
              <w:jc w:val="center"/>
              <w:rPr>
                <w:rFonts w:eastAsia="宋体" w:cs="Times New Roman"/>
                <w:bCs/>
                <w:szCs w:val="21"/>
              </w:rPr>
            </w:pPr>
            <w:r>
              <w:rPr>
                <w:rFonts w:eastAsia="宋体" w:cs="Times New Roman"/>
                <w:bCs/>
                <w:szCs w:val="21"/>
              </w:rPr>
              <w:t>有效开展</w:t>
            </w:r>
          </w:p>
        </w:tc>
        <w:tc>
          <w:tcPr>
            <w:tcW w:w="465" w:type="pct"/>
            <w:vAlign w:val="center"/>
          </w:tcPr>
          <w:p w14:paraId="743D02D0">
            <w:pPr>
              <w:ind w:left="-53" w:leftChars="-25" w:right="-53" w:rightChars="-25"/>
              <w:jc w:val="center"/>
              <w:rPr>
                <w:rFonts w:eastAsia="宋体" w:cs="Times New Roman"/>
                <w:bCs/>
                <w:szCs w:val="21"/>
              </w:rPr>
            </w:pPr>
            <w:r>
              <w:rPr>
                <w:rFonts w:eastAsia="宋体" w:cs="Times New Roman"/>
                <w:bCs/>
                <w:szCs w:val="21"/>
              </w:rPr>
              <w:t>有效开展</w:t>
            </w:r>
          </w:p>
        </w:tc>
        <w:tc>
          <w:tcPr>
            <w:tcW w:w="299" w:type="pct"/>
            <w:vAlign w:val="center"/>
          </w:tcPr>
          <w:p w14:paraId="63A1DE92">
            <w:pPr>
              <w:ind w:left="-53" w:leftChars="-25" w:right="-53" w:rightChars="-25"/>
              <w:jc w:val="center"/>
              <w:rPr>
                <w:rFonts w:eastAsia="宋体" w:cs="Times New Roman"/>
                <w:szCs w:val="21"/>
              </w:rPr>
            </w:pPr>
            <w:r>
              <w:rPr>
                <w:rFonts w:eastAsia="宋体" w:cs="Times New Roman"/>
                <w:bCs/>
                <w:szCs w:val="21"/>
              </w:rPr>
              <w:t>约束性</w:t>
            </w:r>
          </w:p>
        </w:tc>
      </w:tr>
      <w:tr w14:paraId="792A67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4" w:type="pct"/>
            <w:vMerge w:val="continue"/>
            <w:vAlign w:val="center"/>
          </w:tcPr>
          <w:p w14:paraId="7D6AD221">
            <w:pPr>
              <w:ind w:left="-53" w:leftChars="-25" w:right="-53" w:rightChars="-25"/>
              <w:jc w:val="center"/>
              <w:rPr>
                <w:rFonts w:eastAsia="宋体" w:cs="Times New Roman"/>
                <w:szCs w:val="21"/>
              </w:rPr>
            </w:pPr>
          </w:p>
        </w:tc>
        <w:tc>
          <w:tcPr>
            <w:tcW w:w="260" w:type="pct"/>
            <w:vMerge w:val="continue"/>
            <w:vAlign w:val="center"/>
          </w:tcPr>
          <w:p w14:paraId="060C2EDB">
            <w:pPr>
              <w:ind w:left="-53" w:leftChars="-25" w:right="-53" w:rightChars="-25"/>
              <w:rPr>
                <w:rFonts w:eastAsia="宋体" w:cs="Times New Roman"/>
                <w:szCs w:val="21"/>
              </w:rPr>
            </w:pPr>
          </w:p>
        </w:tc>
        <w:tc>
          <w:tcPr>
            <w:tcW w:w="162" w:type="pct"/>
            <w:vAlign w:val="center"/>
          </w:tcPr>
          <w:p w14:paraId="1C6E4C92">
            <w:pPr>
              <w:ind w:left="-53" w:leftChars="-25" w:right="-53" w:rightChars="-25"/>
              <w:jc w:val="center"/>
              <w:rPr>
                <w:rFonts w:eastAsia="宋体" w:cs="Times New Roman"/>
                <w:szCs w:val="21"/>
              </w:rPr>
            </w:pPr>
            <w:r>
              <w:rPr>
                <w:rFonts w:eastAsia="宋体" w:cs="Times New Roman"/>
                <w:szCs w:val="21"/>
              </w:rPr>
              <w:t>11</w:t>
            </w:r>
          </w:p>
        </w:tc>
        <w:tc>
          <w:tcPr>
            <w:tcW w:w="1001" w:type="pct"/>
            <w:vAlign w:val="center"/>
          </w:tcPr>
          <w:p w14:paraId="4E7C3BAE">
            <w:pPr>
              <w:ind w:left="-53" w:leftChars="-25" w:right="-53" w:rightChars="-25"/>
              <w:rPr>
                <w:rFonts w:eastAsia="宋体" w:cs="Times New Roman"/>
                <w:szCs w:val="21"/>
              </w:rPr>
            </w:pPr>
            <w:r>
              <w:rPr>
                <w:rFonts w:eastAsia="宋体" w:cs="Times New Roman"/>
                <w:bCs/>
                <w:szCs w:val="21"/>
              </w:rPr>
              <w:t>依法开展规划环境影响评价</w:t>
            </w:r>
          </w:p>
        </w:tc>
        <w:tc>
          <w:tcPr>
            <w:tcW w:w="222" w:type="pct"/>
            <w:vAlign w:val="center"/>
          </w:tcPr>
          <w:p w14:paraId="0F0A565C">
            <w:pPr>
              <w:ind w:left="-53" w:leftChars="-25" w:right="-53" w:rightChars="-25"/>
              <w:jc w:val="center"/>
              <w:rPr>
                <w:rFonts w:eastAsia="宋体" w:cs="Times New Roman"/>
                <w:szCs w:val="21"/>
              </w:rPr>
            </w:pPr>
            <w:r>
              <w:rPr>
                <w:rFonts w:eastAsia="宋体" w:cs="Times New Roman"/>
                <w:szCs w:val="21"/>
              </w:rPr>
              <w:t>-</w:t>
            </w:r>
          </w:p>
        </w:tc>
        <w:tc>
          <w:tcPr>
            <w:tcW w:w="433" w:type="pct"/>
            <w:vAlign w:val="center"/>
          </w:tcPr>
          <w:p w14:paraId="1A9FBA3A">
            <w:pPr>
              <w:ind w:left="-53" w:leftChars="-25" w:right="-53" w:rightChars="-25"/>
              <w:jc w:val="center"/>
              <w:rPr>
                <w:rFonts w:eastAsia="宋体" w:cs="Times New Roman"/>
                <w:szCs w:val="21"/>
              </w:rPr>
            </w:pPr>
            <w:r>
              <w:rPr>
                <w:rFonts w:eastAsia="宋体" w:cs="Times New Roman"/>
                <w:bCs/>
                <w:szCs w:val="21"/>
              </w:rPr>
              <w:t>开展</w:t>
            </w:r>
          </w:p>
        </w:tc>
        <w:tc>
          <w:tcPr>
            <w:tcW w:w="473" w:type="pct"/>
            <w:vAlign w:val="center"/>
          </w:tcPr>
          <w:p w14:paraId="7CB7FC63">
            <w:pPr>
              <w:ind w:left="-53" w:leftChars="-25" w:right="-53" w:rightChars="-25"/>
              <w:jc w:val="center"/>
              <w:rPr>
                <w:rFonts w:eastAsia="宋体" w:cs="Times New Roman"/>
                <w:szCs w:val="21"/>
              </w:rPr>
            </w:pPr>
            <w:r>
              <w:rPr>
                <w:rFonts w:eastAsia="宋体" w:cs="Times New Roman"/>
                <w:bCs/>
                <w:szCs w:val="21"/>
              </w:rPr>
              <w:t>开展</w:t>
            </w:r>
          </w:p>
        </w:tc>
        <w:tc>
          <w:tcPr>
            <w:tcW w:w="564" w:type="pct"/>
            <w:vAlign w:val="center"/>
          </w:tcPr>
          <w:p w14:paraId="395A6072">
            <w:pPr>
              <w:ind w:left="-53" w:leftChars="-25" w:right="-53" w:rightChars="-25"/>
              <w:jc w:val="center"/>
              <w:rPr>
                <w:rFonts w:eastAsia="宋体" w:cs="Times New Roman"/>
                <w:szCs w:val="21"/>
              </w:rPr>
            </w:pPr>
            <w:r>
              <w:rPr>
                <w:rFonts w:eastAsia="宋体" w:cs="Times New Roman"/>
                <w:bCs/>
                <w:szCs w:val="21"/>
              </w:rPr>
              <w:t>已完成</w:t>
            </w:r>
          </w:p>
        </w:tc>
        <w:tc>
          <w:tcPr>
            <w:tcW w:w="483" w:type="pct"/>
            <w:vAlign w:val="center"/>
          </w:tcPr>
          <w:p w14:paraId="5B32C044">
            <w:pPr>
              <w:ind w:left="-53" w:leftChars="-25" w:right="-53" w:rightChars="-25"/>
              <w:jc w:val="center"/>
              <w:rPr>
                <w:rFonts w:eastAsia="宋体" w:cs="Times New Roman"/>
                <w:bCs/>
                <w:szCs w:val="21"/>
              </w:rPr>
            </w:pPr>
            <w:r>
              <w:rPr>
                <w:rFonts w:eastAsia="宋体" w:cs="Times New Roman"/>
                <w:bCs/>
                <w:szCs w:val="21"/>
              </w:rPr>
              <w:t>开展</w:t>
            </w:r>
          </w:p>
        </w:tc>
        <w:tc>
          <w:tcPr>
            <w:tcW w:w="479" w:type="pct"/>
            <w:vAlign w:val="center"/>
          </w:tcPr>
          <w:p w14:paraId="4506DC26">
            <w:pPr>
              <w:ind w:left="-53" w:leftChars="-25" w:right="-53" w:rightChars="-25"/>
              <w:jc w:val="center"/>
              <w:rPr>
                <w:rFonts w:eastAsia="宋体" w:cs="Times New Roman"/>
                <w:bCs/>
                <w:szCs w:val="21"/>
              </w:rPr>
            </w:pPr>
            <w:r>
              <w:rPr>
                <w:rFonts w:eastAsia="宋体" w:cs="Times New Roman"/>
                <w:bCs/>
                <w:szCs w:val="21"/>
              </w:rPr>
              <w:t>开展</w:t>
            </w:r>
          </w:p>
        </w:tc>
        <w:tc>
          <w:tcPr>
            <w:tcW w:w="465" w:type="pct"/>
            <w:vAlign w:val="center"/>
          </w:tcPr>
          <w:p w14:paraId="333889C7">
            <w:pPr>
              <w:ind w:left="-53" w:leftChars="-25" w:right="-53" w:rightChars="-25"/>
              <w:jc w:val="center"/>
              <w:rPr>
                <w:rFonts w:eastAsia="宋体" w:cs="Times New Roman"/>
                <w:bCs/>
                <w:szCs w:val="21"/>
              </w:rPr>
            </w:pPr>
            <w:r>
              <w:rPr>
                <w:rFonts w:eastAsia="宋体" w:cs="Times New Roman"/>
                <w:bCs/>
                <w:szCs w:val="21"/>
              </w:rPr>
              <w:t>开展</w:t>
            </w:r>
          </w:p>
        </w:tc>
        <w:tc>
          <w:tcPr>
            <w:tcW w:w="299" w:type="pct"/>
            <w:vAlign w:val="center"/>
          </w:tcPr>
          <w:p w14:paraId="1B0A6752">
            <w:pPr>
              <w:ind w:left="-53" w:leftChars="-25" w:right="-53" w:rightChars="-25"/>
              <w:jc w:val="center"/>
              <w:rPr>
                <w:rFonts w:eastAsia="宋体" w:cs="Times New Roman"/>
                <w:szCs w:val="21"/>
              </w:rPr>
            </w:pPr>
            <w:r>
              <w:rPr>
                <w:rFonts w:eastAsia="宋体" w:cs="Times New Roman"/>
                <w:bCs/>
                <w:szCs w:val="21"/>
              </w:rPr>
              <w:t>参考性</w:t>
            </w:r>
          </w:p>
        </w:tc>
      </w:tr>
      <w:tr w14:paraId="361675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4" w:type="pct"/>
            <w:vMerge w:val="restart"/>
            <w:vAlign w:val="center"/>
          </w:tcPr>
          <w:p w14:paraId="6AE34AE4">
            <w:pPr>
              <w:ind w:left="-53" w:leftChars="-25" w:right="-53" w:rightChars="-25"/>
              <w:jc w:val="center"/>
              <w:rPr>
                <w:rFonts w:eastAsia="宋体" w:cs="Times New Roman"/>
                <w:szCs w:val="21"/>
              </w:rPr>
            </w:pPr>
            <w:r>
              <w:rPr>
                <w:rFonts w:eastAsia="宋体" w:cs="Times New Roman"/>
                <w:bCs/>
                <w:szCs w:val="21"/>
              </w:rPr>
              <w:t>生态环境</w:t>
            </w:r>
          </w:p>
        </w:tc>
        <w:tc>
          <w:tcPr>
            <w:tcW w:w="260" w:type="pct"/>
            <w:vMerge w:val="restart"/>
            <w:vAlign w:val="center"/>
          </w:tcPr>
          <w:p w14:paraId="2CBCF6DA">
            <w:pPr>
              <w:ind w:left="-53" w:leftChars="-25" w:right="-53" w:rightChars="-25"/>
              <w:rPr>
                <w:rFonts w:eastAsia="宋体" w:cs="Times New Roman"/>
                <w:szCs w:val="21"/>
              </w:rPr>
            </w:pPr>
            <w:r>
              <w:rPr>
                <w:rFonts w:eastAsia="宋体" w:cs="Times New Roman"/>
                <w:bCs/>
                <w:szCs w:val="21"/>
              </w:rPr>
              <w:t>（二）生态环境质量改善</w:t>
            </w:r>
          </w:p>
        </w:tc>
        <w:tc>
          <w:tcPr>
            <w:tcW w:w="162" w:type="pct"/>
            <w:vAlign w:val="center"/>
          </w:tcPr>
          <w:p w14:paraId="6856E3EE">
            <w:pPr>
              <w:ind w:left="-53" w:leftChars="-25" w:right="-53" w:rightChars="-25"/>
              <w:jc w:val="center"/>
              <w:rPr>
                <w:rFonts w:eastAsia="宋体" w:cs="Times New Roman"/>
                <w:szCs w:val="21"/>
              </w:rPr>
            </w:pPr>
            <w:r>
              <w:rPr>
                <w:rFonts w:eastAsia="宋体" w:cs="Times New Roman"/>
                <w:szCs w:val="21"/>
              </w:rPr>
              <w:t>12</w:t>
            </w:r>
          </w:p>
        </w:tc>
        <w:tc>
          <w:tcPr>
            <w:tcW w:w="1001" w:type="pct"/>
            <w:vAlign w:val="center"/>
          </w:tcPr>
          <w:p w14:paraId="68732063">
            <w:pPr>
              <w:ind w:left="157" w:leftChars="-25" w:right="-53" w:rightChars="-25" w:hanging="210" w:hangingChars="100"/>
              <w:rPr>
                <w:rFonts w:eastAsia="宋体" w:cs="Times New Roman"/>
                <w:bCs/>
                <w:szCs w:val="21"/>
              </w:rPr>
            </w:pPr>
            <w:r>
              <w:rPr>
                <w:rFonts w:eastAsia="宋体" w:cs="Times New Roman"/>
                <w:bCs/>
                <w:szCs w:val="21"/>
              </w:rPr>
              <w:t>环境空气质量</w:t>
            </w:r>
          </w:p>
          <w:p w14:paraId="23AE6AA1">
            <w:pPr>
              <w:ind w:left="157" w:leftChars="-25" w:right="-53" w:rightChars="-25" w:hanging="210" w:hangingChars="100"/>
              <w:rPr>
                <w:rFonts w:eastAsia="宋体" w:cs="Times New Roman"/>
                <w:bCs/>
                <w:szCs w:val="21"/>
              </w:rPr>
            </w:pPr>
            <w:r>
              <w:rPr>
                <w:rFonts w:eastAsia="宋体" w:cs="Times New Roman"/>
                <w:bCs/>
                <w:szCs w:val="21"/>
              </w:rPr>
              <w:t>优良天数比例</w:t>
            </w:r>
          </w:p>
          <w:p w14:paraId="753D7535">
            <w:pPr>
              <w:ind w:left="157" w:leftChars="-25" w:right="-53" w:rightChars="-25" w:hanging="210" w:hangingChars="100"/>
              <w:rPr>
                <w:rFonts w:eastAsia="宋体" w:cs="Times New Roman"/>
                <w:szCs w:val="21"/>
              </w:rPr>
            </w:pPr>
            <w:r>
              <w:rPr>
                <w:rFonts w:eastAsia="宋体" w:cs="Times New Roman"/>
                <w:bCs/>
                <w:szCs w:val="21"/>
              </w:rPr>
              <w:t>PM</w:t>
            </w:r>
            <w:r>
              <w:rPr>
                <w:rFonts w:eastAsia="宋体" w:cs="Times New Roman"/>
                <w:bCs/>
                <w:szCs w:val="21"/>
                <w:vertAlign w:val="subscript"/>
              </w:rPr>
              <w:t>2.5</w:t>
            </w:r>
            <w:r>
              <w:rPr>
                <w:rFonts w:eastAsia="宋体" w:cs="Times New Roman"/>
                <w:bCs/>
                <w:szCs w:val="21"/>
              </w:rPr>
              <w:t>浓度下降幅度</w:t>
            </w:r>
          </w:p>
        </w:tc>
        <w:tc>
          <w:tcPr>
            <w:tcW w:w="222" w:type="pct"/>
            <w:vAlign w:val="center"/>
          </w:tcPr>
          <w:p w14:paraId="51C66079">
            <w:pPr>
              <w:ind w:left="-53" w:leftChars="-25" w:right="-53" w:rightChars="-25"/>
              <w:jc w:val="center"/>
              <w:rPr>
                <w:rFonts w:eastAsia="宋体" w:cs="Times New Roman"/>
                <w:szCs w:val="21"/>
              </w:rPr>
            </w:pPr>
            <w:r>
              <w:rPr>
                <w:rFonts w:eastAsia="宋体" w:cs="Times New Roman"/>
                <w:bCs/>
                <w:szCs w:val="21"/>
              </w:rPr>
              <w:t>%</w:t>
            </w:r>
          </w:p>
        </w:tc>
        <w:tc>
          <w:tcPr>
            <w:tcW w:w="433" w:type="pct"/>
            <w:vAlign w:val="center"/>
          </w:tcPr>
          <w:p w14:paraId="426FE34A">
            <w:pPr>
              <w:ind w:left="-53" w:leftChars="-25" w:right="-53" w:rightChars="-25"/>
              <w:rPr>
                <w:rFonts w:eastAsia="宋体" w:cs="Times New Roman"/>
                <w:szCs w:val="21"/>
              </w:rPr>
            </w:pPr>
            <w:r>
              <w:rPr>
                <w:rFonts w:eastAsia="宋体" w:cs="Times New Roman"/>
                <w:bCs/>
                <w:szCs w:val="21"/>
              </w:rPr>
              <w:t>完成上级规定的考核任务；保持稳定或持续改善</w:t>
            </w:r>
          </w:p>
        </w:tc>
        <w:tc>
          <w:tcPr>
            <w:tcW w:w="473" w:type="pct"/>
            <w:vAlign w:val="center"/>
          </w:tcPr>
          <w:p w14:paraId="596F65D9">
            <w:pPr>
              <w:ind w:left="-53" w:leftChars="-25" w:right="-53" w:rightChars="-25"/>
              <w:rPr>
                <w:rFonts w:eastAsia="宋体" w:cs="Times New Roman"/>
                <w:szCs w:val="21"/>
              </w:rPr>
            </w:pPr>
            <w:r>
              <w:rPr>
                <w:rFonts w:eastAsia="宋体" w:cs="Times New Roman"/>
                <w:bCs/>
                <w:szCs w:val="21"/>
              </w:rPr>
              <w:t>完成上级规定的考核任务</w:t>
            </w:r>
            <w:r>
              <w:rPr>
                <w:rFonts w:hint="eastAsia" w:eastAsia="宋体" w:cs="Times New Roman"/>
                <w:bCs/>
                <w:szCs w:val="21"/>
              </w:rPr>
              <w:t>（98%）</w:t>
            </w:r>
            <w:r>
              <w:rPr>
                <w:rFonts w:eastAsia="宋体" w:cs="Times New Roman"/>
                <w:bCs/>
                <w:szCs w:val="21"/>
              </w:rPr>
              <w:t>；持续改善</w:t>
            </w:r>
          </w:p>
        </w:tc>
        <w:tc>
          <w:tcPr>
            <w:tcW w:w="564" w:type="pct"/>
            <w:vAlign w:val="center"/>
          </w:tcPr>
          <w:p w14:paraId="21A3191D">
            <w:pPr>
              <w:ind w:left="-53" w:leftChars="-25" w:right="-53" w:rightChars="-25"/>
              <w:jc w:val="center"/>
              <w:rPr>
                <w:rFonts w:eastAsia="宋体" w:cs="Times New Roman"/>
                <w:szCs w:val="21"/>
              </w:rPr>
            </w:pPr>
            <w:r>
              <w:rPr>
                <w:rFonts w:eastAsia="宋体" w:cs="Times New Roman"/>
                <w:bCs/>
                <w:szCs w:val="21"/>
              </w:rPr>
              <w:t>已完成</w:t>
            </w:r>
          </w:p>
        </w:tc>
        <w:tc>
          <w:tcPr>
            <w:tcW w:w="483" w:type="pct"/>
            <w:vAlign w:val="center"/>
          </w:tcPr>
          <w:p w14:paraId="09073ADD">
            <w:pPr>
              <w:ind w:left="-53" w:leftChars="-25" w:right="-53" w:rightChars="-25"/>
              <w:jc w:val="center"/>
              <w:rPr>
                <w:rFonts w:eastAsia="宋体" w:cs="Times New Roman"/>
                <w:bCs/>
                <w:szCs w:val="21"/>
              </w:rPr>
            </w:pPr>
            <w:r>
              <w:rPr>
                <w:rFonts w:eastAsia="宋体" w:cs="Times New Roman"/>
                <w:bCs/>
                <w:szCs w:val="21"/>
              </w:rPr>
              <w:t>完成上级规定的考核任务；保持稳定或持续改善</w:t>
            </w:r>
          </w:p>
        </w:tc>
        <w:tc>
          <w:tcPr>
            <w:tcW w:w="479" w:type="pct"/>
            <w:vAlign w:val="center"/>
          </w:tcPr>
          <w:p w14:paraId="7569F524">
            <w:pPr>
              <w:ind w:left="-53" w:leftChars="-25" w:right="-53" w:rightChars="-25"/>
              <w:jc w:val="center"/>
              <w:rPr>
                <w:rFonts w:eastAsia="宋体" w:cs="Times New Roman"/>
                <w:bCs/>
                <w:szCs w:val="21"/>
              </w:rPr>
            </w:pPr>
            <w:r>
              <w:rPr>
                <w:rFonts w:eastAsia="宋体" w:cs="Times New Roman"/>
                <w:bCs/>
                <w:szCs w:val="21"/>
              </w:rPr>
              <w:t>完成上级规定的考核任务；保持稳定或持续改善</w:t>
            </w:r>
          </w:p>
        </w:tc>
        <w:tc>
          <w:tcPr>
            <w:tcW w:w="465" w:type="pct"/>
            <w:vAlign w:val="center"/>
          </w:tcPr>
          <w:p w14:paraId="7CEE6381">
            <w:pPr>
              <w:ind w:left="-53" w:leftChars="-25" w:right="-53" w:rightChars="-25"/>
              <w:jc w:val="center"/>
              <w:rPr>
                <w:rFonts w:eastAsia="宋体" w:cs="Times New Roman"/>
                <w:bCs/>
                <w:szCs w:val="21"/>
              </w:rPr>
            </w:pPr>
            <w:r>
              <w:rPr>
                <w:rFonts w:eastAsia="宋体" w:cs="Times New Roman"/>
                <w:bCs/>
                <w:szCs w:val="21"/>
              </w:rPr>
              <w:t>完成上级规定的考核任务；保持稳定或持续改善</w:t>
            </w:r>
          </w:p>
        </w:tc>
        <w:tc>
          <w:tcPr>
            <w:tcW w:w="299" w:type="pct"/>
            <w:vAlign w:val="center"/>
          </w:tcPr>
          <w:p w14:paraId="606C4EC3">
            <w:pPr>
              <w:ind w:left="-53" w:leftChars="-25" w:right="-53" w:rightChars="-25"/>
              <w:jc w:val="center"/>
              <w:rPr>
                <w:rFonts w:eastAsia="宋体" w:cs="Times New Roman"/>
                <w:szCs w:val="21"/>
              </w:rPr>
            </w:pPr>
            <w:r>
              <w:rPr>
                <w:rFonts w:eastAsia="宋体" w:cs="Times New Roman"/>
                <w:bCs/>
                <w:szCs w:val="21"/>
              </w:rPr>
              <w:t>约束性</w:t>
            </w:r>
          </w:p>
        </w:tc>
      </w:tr>
      <w:tr w14:paraId="075AD4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4" w:type="pct"/>
            <w:vMerge w:val="continue"/>
            <w:vAlign w:val="center"/>
          </w:tcPr>
          <w:p w14:paraId="169D9729">
            <w:pPr>
              <w:ind w:left="-53" w:leftChars="-25" w:right="-53" w:rightChars="-25"/>
              <w:jc w:val="center"/>
              <w:rPr>
                <w:rFonts w:eastAsia="宋体" w:cs="Times New Roman"/>
                <w:szCs w:val="21"/>
              </w:rPr>
            </w:pPr>
          </w:p>
        </w:tc>
        <w:tc>
          <w:tcPr>
            <w:tcW w:w="260" w:type="pct"/>
            <w:vMerge w:val="continue"/>
            <w:vAlign w:val="center"/>
          </w:tcPr>
          <w:p w14:paraId="36BCB120">
            <w:pPr>
              <w:ind w:left="-53" w:leftChars="-25" w:right="-53" w:rightChars="-25"/>
              <w:rPr>
                <w:rFonts w:eastAsia="宋体" w:cs="Times New Roman"/>
                <w:szCs w:val="21"/>
              </w:rPr>
            </w:pPr>
          </w:p>
        </w:tc>
        <w:tc>
          <w:tcPr>
            <w:tcW w:w="162" w:type="pct"/>
            <w:vAlign w:val="center"/>
          </w:tcPr>
          <w:p w14:paraId="7FE3D90F">
            <w:pPr>
              <w:ind w:left="-53" w:leftChars="-25" w:right="-53" w:rightChars="-25"/>
              <w:jc w:val="center"/>
              <w:rPr>
                <w:rFonts w:eastAsia="宋体" w:cs="Times New Roman"/>
                <w:szCs w:val="21"/>
              </w:rPr>
            </w:pPr>
            <w:r>
              <w:rPr>
                <w:rFonts w:eastAsia="宋体" w:cs="Times New Roman"/>
                <w:szCs w:val="21"/>
              </w:rPr>
              <w:t>13</w:t>
            </w:r>
          </w:p>
        </w:tc>
        <w:tc>
          <w:tcPr>
            <w:tcW w:w="1001" w:type="pct"/>
            <w:vAlign w:val="center"/>
          </w:tcPr>
          <w:p w14:paraId="630B1CBE">
            <w:pPr>
              <w:ind w:left="-53" w:leftChars="-25" w:right="-53" w:rightChars="-25"/>
              <w:rPr>
                <w:rFonts w:eastAsia="宋体" w:cs="Times New Roman"/>
                <w:szCs w:val="21"/>
              </w:rPr>
            </w:pPr>
            <w:r>
              <w:rPr>
                <w:rFonts w:eastAsia="宋体" w:cs="Times New Roman"/>
                <w:bCs/>
                <w:szCs w:val="21"/>
              </w:rPr>
              <w:t>水环境质量</w:t>
            </w:r>
          </w:p>
          <w:p w14:paraId="3C5A8E73">
            <w:pPr>
              <w:ind w:left="-53" w:leftChars="-25" w:right="-53" w:rightChars="-25"/>
              <w:rPr>
                <w:rFonts w:eastAsia="宋体" w:cs="Times New Roman"/>
                <w:szCs w:val="21"/>
              </w:rPr>
            </w:pPr>
            <w:r>
              <w:rPr>
                <w:rFonts w:eastAsia="宋体" w:cs="Times New Roman"/>
                <w:bCs/>
                <w:szCs w:val="21"/>
              </w:rPr>
              <w:t>水质达到或优于Ⅲ类比例提高幅度</w:t>
            </w:r>
          </w:p>
          <w:p w14:paraId="79179B0E">
            <w:pPr>
              <w:ind w:left="-53" w:leftChars="-25" w:right="-53" w:rightChars="-25"/>
              <w:rPr>
                <w:rFonts w:eastAsia="宋体" w:cs="Times New Roman"/>
                <w:szCs w:val="21"/>
              </w:rPr>
            </w:pPr>
            <w:r>
              <w:rPr>
                <w:rFonts w:eastAsia="宋体" w:cs="Times New Roman"/>
                <w:bCs/>
                <w:szCs w:val="21"/>
              </w:rPr>
              <w:t>劣V类水体比例下降幅度黑臭水体消除比例</w:t>
            </w:r>
          </w:p>
        </w:tc>
        <w:tc>
          <w:tcPr>
            <w:tcW w:w="222" w:type="pct"/>
            <w:vAlign w:val="center"/>
          </w:tcPr>
          <w:p w14:paraId="19A45AA7">
            <w:pPr>
              <w:ind w:left="-53" w:leftChars="-25" w:right="-53" w:rightChars="-25"/>
              <w:jc w:val="center"/>
              <w:rPr>
                <w:rFonts w:eastAsia="宋体" w:cs="Times New Roman"/>
                <w:szCs w:val="21"/>
              </w:rPr>
            </w:pPr>
            <w:r>
              <w:rPr>
                <w:rFonts w:eastAsia="宋体" w:cs="Times New Roman"/>
                <w:bCs/>
                <w:szCs w:val="21"/>
              </w:rPr>
              <w:t>%</w:t>
            </w:r>
          </w:p>
        </w:tc>
        <w:tc>
          <w:tcPr>
            <w:tcW w:w="433" w:type="pct"/>
            <w:vAlign w:val="center"/>
          </w:tcPr>
          <w:p w14:paraId="5136882B">
            <w:pPr>
              <w:ind w:left="-53" w:leftChars="-25" w:right="-53" w:rightChars="-25"/>
              <w:jc w:val="center"/>
              <w:rPr>
                <w:rFonts w:eastAsia="宋体" w:cs="Times New Roman"/>
                <w:szCs w:val="21"/>
              </w:rPr>
            </w:pPr>
            <w:r>
              <w:rPr>
                <w:rFonts w:eastAsia="宋体" w:cs="Times New Roman"/>
                <w:bCs/>
                <w:szCs w:val="21"/>
              </w:rPr>
              <w:t>完成上级规定的考核任务；保持稳定或持续改善</w:t>
            </w:r>
          </w:p>
        </w:tc>
        <w:tc>
          <w:tcPr>
            <w:tcW w:w="473" w:type="pct"/>
            <w:vAlign w:val="center"/>
          </w:tcPr>
          <w:p w14:paraId="3412A8BF">
            <w:pPr>
              <w:ind w:left="-53" w:leftChars="-25" w:right="-53" w:rightChars="-25"/>
            </w:pPr>
            <w:r>
              <w:rPr>
                <w:rFonts w:hint="eastAsia"/>
              </w:rPr>
              <w:t>100%达到或优于Ⅲ类；</w:t>
            </w:r>
          </w:p>
          <w:p w14:paraId="4AE07A08">
            <w:pPr>
              <w:ind w:left="-53" w:leftChars="-25" w:right="-53" w:rightChars="-25"/>
            </w:pPr>
            <w:r>
              <w:rPr>
                <w:rFonts w:hint="eastAsia"/>
              </w:rPr>
              <w:t>无劣V类水体；</w:t>
            </w:r>
          </w:p>
          <w:p w14:paraId="20B66C29">
            <w:pPr>
              <w:ind w:left="-53" w:leftChars="-25" w:right="-53" w:rightChars="-25"/>
              <w:rPr>
                <w:rFonts w:eastAsia="宋体" w:cs="Times New Roman"/>
                <w:szCs w:val="21"/>
              </w:rPr>
            </w:pPr>
            <w:r>
              <w:rPr>
                <w:rFonts w:hint="eastAsia"/>
              </w:rPr>
              <w:t>无黑臭水体。</w:t>
            </w:r>
          </w:p>
        </w:tc>
        <w:tc>
          <w:tcPr>
            <w:tcW w:w="564" w:type="pct"/>
            <w:vAlign w:val="center"/>
          </w:tcPr>
          <w:p w14:paraId="11601FEA">
            <w:pPr>
              <w:ind w:left="-53" w:leftChars="-25" w:right="-53" w:rightChars="-25"/>
              <w:jc w:val="center"/>
              <w:rPr>
                <w:rFonts w:eastAsia="宋体" w:cs="Times New Roman"/>
                <w:szCs w:val="21"/>
              </w:rPr>
            </w:pPr>
            <w:r>
              <w:rPr>
                <w:rFonts w:eastAsia="宋体" w:cs="Times New Roman"/>
                <w:bCs/>
                <w:szCs w:val="21"/>
              </w:rPr>
              <w:t>已完成</w:t>
            </w:r>
          </w:p>
        </w:tc>
        <w:tc>
          <w:tcPr>
            <w:tcW w:w="483" w:type="pct"/>
            <w:vAlign w:val="center"/>
          </w:tcPr>
          <w:p w14:paraId="2FB4FE45">
            <w:pPr>
              <w:ind w:left="-53" w:leftChars="-25" w:right="-53" w:rightChars="-25"/>
              <w:jc w:val="center"/>
              <w:rPr>
                <w:rFonts w:eastAsia="宋体" w:cs="Times New Roman"/>
                <w:bCs/>
                <w:szCs w:val="21"/>
              </w:rPr>
            </w:pPr>
            <w:r>
              <w:rPr>
                <w:rFonts w:eastAsia="宋体" w:cs="Times New Roman"/>
                <w:bCs/>
                <w:szCs w:val="21"/>
              </w:rPr>
              <w:t>完成上级规定的考核任务；保持稳定或持续改善</w:t>
            </w:r>
          </w:p>
        </w:tc>
        <w:tc>
          <w:tcPr>
            <w:tcW w:w="479" w:type="pct"/>
            <w:vAlign w:val="center"/>
          </w:tcPr>
          <w:p w14:paraId="4D8B61A0">
            <w:pPr>
              <w:ind w:left="-53" w:leftChars="-25" w:right="-53" w:rightChars="-25"/>
              <w:jc w:val="center"/>
              <w:rPr>
                <w:rFonts w:eastAsia="宋体" w:cs="Times New Roman"/>
                <w:bCs/>
                <w:szCs w:val="21"/>
              </w:rPr>
            </w:pPr>
            <w:r>
              <w:rPr>
                <w:rFonts w:eastAsia="宋体" w:cs="Times New Roman"/>
                <w:bCs/>
                <w:szCs w:val="21"/>
              </w:rPr>
              <w:t>完成上级规定的考核任务；保持稳定或持续改善</w:t>
            </w:r>
          </w:p>
        </w:tc>
        <w:tc>
          <w:tcPr>
            <w:tcW w:w="465" w:type="pct"/>
            <w:vAlign w:val="center"/>
          </w:tcPr>
          <w:p w14:paraId="772D18AE">
            <w:pPr>
              <w:ind w:left="-53" w:leftChars="-25" w:right="-53" w:rightChars="-25"/>
              <w:jc w:val="center"/>
              <w:rPr>
                <w:rFonts w:eastAsia="宋体" w:cs="Times New Roman"/>
                <w:bCs/>
                <w:szCs w:val="21"/>
              </w:rPr>
            </w:pPr>
            <w:r>
              <w:rPr>
                <w:rFonts w:eastAsia="宋体" w:cs="Times New Roman"/>
                <w:bCs/>
                <w:szCs w:val="21"/>
              </w:rPr>
              <w:t>完成上级规定的考核任务；保持稳定或持续改善</w:t>
            </w:r>
          </w:p>
        </w:tc>
        <w:tc>
          <w:tcPr>
            <w:tcW w:w="299" w:type="pct"/>
            <w:vAlign w:val="center"/>
          </w:tcPr>
          <w:p w14:paraId="1818B816">
            <w:pPr>
              <w:ind w:left="-53" w:leftChars="-25" w:right="-53" w:rightChars="-25"/>
              <w:jc w:val="center"/>
              <w:rPr>
                <w:rFonts w:eastAsia="宋体" w:cs="Times New Roman"/>
                <w:szCs w:val="21"/>
              </w:rPr>
            </w:pPr>
            <w:r>
              <w:rPr>
                <w:rFonts w:eastAsia="宋体" w:cs="Times New Roman"/>
                <w:bCs/>
                <w:szCs w:val="21"/>
              </w:rPr>
              <w:t>约束性</w:t>
            </w:r>
          </w:p>
        </w:tc>
      </w:tr>
      <w:tr w14:paraId="7846C7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4" w:type="pct"/>
            <w:vMerge w:val="continue"/>
            <w:vAlign w:val="center"/>
          </w:tcPr>
          <w:p w14:paraId="429BAD2E">
            <w:pPr>
              <w:ind w:left="-53" w:leftChars="-25" w:right="-53" w:rightChars="-25"/>
              <w:jc w:val="center"/>
              <w:rPr>
                <w:rFonts w:eastAsia="宋体" w:cs="Times New Roman"/>
                <w:szCs w:val="21"/>
              </w:rPr>
            </w:pPr>
          </w:p>
        </w:tc>
        <w:tc>
          <w:tcPr>
            <w:tcW w:w="260" w:type="pct"/>
            <w:vMerge w:val="restart"/>
            <w:vAlign w:val="center"/>
          </w:tcPr>
          <w:p w14:paraId="694F9A3F">
            <w:pPr>
              <w:ind w:left="-53" w:leftChars="-25" w:right="-53" w:rightChars="-25"/>
              <w:rPr>
                <w:rFonts w:eastAsia="宋体" w:cs="Times New Roman"/>
                <w:szCs w:val="21"/>
              </w:rPr>
            </w:pPr>
            <w:r>
              <w:rPr>
                <w:rFonts w:eastAsia="宋体" w:cs="Times New Roman"/>
                <w:bCs/>
                <w:szCs w:val="21"/>
              </w:rPr>
              <w:t>（三）生态系统保护</w:t>
            </w:r>
          </w:p>
          <w:p w14:paraId="2DDD493D">
            <w:pPr>
              <w:ind w:left="-53" w:leftChars="-25" w:right="-53" w:rightChars="-25"/>
              <w:rPr>
                <w:rFonts w:eastAsia="宋体" w:cs="Times New Roman"/>
                <w:szCs w:val="21"/>
              </w:rPr>
            </w:pPr>
          </w:p>
        </w:tc>
        <w:tc>
          <w:tcPr>
            <w:tcW w:w="162" w:type="pct"/>
            <w:vAlign w:val="center"/>
          </w:tcPr>
          <w:p w14:paraId="1D4F87A6">
            <w:pPr>
              <w:ind w:left="-53" w:leftChars="-25" w:right="-53" w:rightChars="-25"/>
              <w:jc w:val="center"/>
              <w:rPr>
                <w:rFonts w:eastAsia="宋体" w:cs="Times New Roman"/>
                <w:szCs w:val="21"/>
              </w:rPr>
            </w:pPr>
            <w:r>
              <w:rPr>
                <w:rFonts w:eastAsia="宋体" w:cs="Times New Roman"/>
                <w:szCs w:val="21"/>
              </w:rPr>
              <w:t>14</w:t>
            </w:r>
          </w:p>
        </w:tc>
        <w:tc>
          <w:tcPr>
            <w:tcW w:w="1001" w:type="pct"/>
            <w:vAlign w:val="center"/>
          </w:tcPr>
          <w:p w14:paraId="0F13A0A8">
            <w:pPr>
              <w:ind w:left="-53" w:leftChars="-25" w:right="-53" w:rightChars="-25"/>
              <w:rPr>
                <w:rFonts w:eastAsia="宋体" w:cs="Times New Roman"/>
                <w:bCs/>
                <w:szCs w:val="21"/>
              </w:rPr>
            </w:pPr>
            <w:r>
              <w:rPr>
                <w:rFonts w:eastAsia="宋体" w:cs="Times New Roman"/>
                <w:bCs/>
                <w:szCs w:val="21"/>
              </w:rPr>
              <w:t>生态环境状况指数</w:t>
            </w:r>
          </w:p>
          <w:p w14:paraId="7F070D17">
            <w:pPr>
              <w:ind w:left="-53" w:leftChars="-25" w:right="-53" w:rightChars="-25"/>
              <w:rPr>
                <w:rFonts w:eastAsia="宋体" w:cs="Times New Roman"/>
                <w:szCs w:val="21"/>
              </w:rPr>
            </w:pPr>
            <w:r>
              <w:rPr>
                <w:rFonts w:eastAsia="宋体" w:cs="Times New Roman"/>
                <w:bCs/>
                <w:szCs w:val="21"/>
              </w:rPr>
              <w:t>（藏东南高山峡谷地区）</w:t>
            </w:r>
          </w:p>
        </w:tc>
        <w:tc>
          <w:tcPr>
            <w:tcW w:w="222" w:type="pct"/>
            <w:vAlign w:val="center"/>
          </w:tcPr>
          <w:p w14:paraId="4C8E372C">
            <w:pPr>
              <w:ind w:left="-53" w:leftChars="-25" w:right="-53" w:rightChars="-25"/>
              <w:jc w:val="center"/>
              <w:rPr>
                <w:rFonts w:eastAsia="宋体" w:cs="Times New Roman"/>
                <w:szCs w:val="21"/>
              </w:rPr>
            </w:pPr>
          </w:p>
          <w:p w14:paraId="06E76ABB">
            <w:pPr>
              <w:ind w:left="-53" w:leftChars="-25" w:right="-53" w:rightChars="-25"/>
              <w:jc w:val="center"/>
              <w:rPr>
                <w:rFonts w:eastAsia="宋体" w:cs="Times New Roman"/>
                <w:szCs w:val="21"/>
              </w:rPr>
            </w:pPr>
            <w:r>
              <w:rPr>
                <w:rFonts w:eastAsia="宋体" w:cs="Times New Roman"/>
                <w:szCs w:val="21"/>
              </w:rPr>
              <w:t>-</w:t>
            </w:r>
          </w:p>
        </w:tc>
        <w:tc>
          <w:tcPr>
            <w:tcW w:w="433" w:type="pct"/>
            <w:vAlign w:val="center"/>
          </w:tcPr>
          <w:p w14:paraId="76F62FF1">
            <w:pPr>
              <w:ind w:left="-53" w:leftChars="-25" w:right="-53" w:rightChars="-25"/>
              <w:jc w:val="center"/>
              <w:rPr>
                <w:rFonts w:eastAsia="宋体" w:cs="Times New Roman"/>
                <w:bCs/>
                <w:szCs w:val="21"/>
              </w:rPr>
            </w:pPr>
            <w:r>
              <w:rPr>
                <w:rFonts w:eastAsia="宋体" w:cs="Times New Roman"/>
                <w:bCs/>
                <w:szCs w:val="21"/>
              </w:rPr>
              <w:t>≥50</w:t>
            </w:r>
          </w:p>
        </w:tc>
        <w:tc>
          <w:tcPr>
            <w:tcW w:w="473" w:type="pct"/>
            <w:vAlign w:val="center"/>
          </w:tcPr>
          <w:p w14:paraId="5D9A309A">
            <w:pPr>
              <w:ind w:left="-53" w:leftChars="-25" w:right="-53" w:rightChars="-25"/>
              <w:jc w:val="center"/>
              <w:rPr>
                <w:rFonts w:eastAsia="宋体" w:cs="Times New Roman"/>
                <w:bCs/>
                <w:szCs w:val="21"/>
              </w:rPr>
            </w:pPr>
            <w:r>
              <w:rPr>
                <w:rFonts w:eastAsia="宋体" w:cs="Times New Roman"/>
                <w:bCs/>
                <w:szCs w:val="21"/>
              </w:rPr>
              <w:t>≥50</w:t>
            </w:r>
            <w:r>
              <w:rPr>
                <w:rFonts w:hint="eastAsia" w:eastAsia="宋体" w:cs="Times New Roman"/>
                <w:bCs/>
                <w:szCs w:val="21"/>
              </w:rPr>
              <w:t>（2020EI）</w:t>
            </w:r>
          </w:p>
        </w:tc>
        <w:tc>
          <w:tcPr>
            <w:tcW w:w="564" w:type="pct"/>
            <w:vAlign w:val="center"/>
          </w:tcPr>
          <w:p w14:paraId="7F476E1D">
            <w:pPr>
              <w:ind w:left="-53" w:leftChars="-25" w:right="-53" w:rightChars="-25"/>
              <w:jc w:val="center"/>
              <w:rPr>
                <w:rFonts w:eastAsia="宋体" w:cs="Times New Roman"/>
                <w:szCs w:val="21"/>
              </w:rPr>
            </w:pPr>
            <w:r>
              <w:rPr>
                <w:rFonts w:eastAsia="宋体" w:cs="Times New Roman"/>
                <w:bCs/>
                <w:szCs w:val="21"/>
              </w:rPr>
              <w:t>已完成</w:t>
            </w:r>
          </w:p>
        </w:tc>
        <w:tc>
          <w:tcPr>
            <w:tcW w:w="483" w:type="pct"/>
            <w:vAlign w:val="center"/>
          </w:tcPr>
          <w:p w14:paraId="72585D7F">
            <w:pPr>
              <w:ind w:left="-53" w:leftChars="-25" w:right="-53" w:rightChars="-25"/>
              <w:jc w:val="center"/>
              <w:rPr>
                <w:rFonts w:eastAsia="宋体" w:cs="Times New Roman"/>
                <w:bCs/>
                <w:szCs w:val="21"/>
              </w:rPr>
            </w:pPr>
            <w:r>
              <w:rPr>
                <w:rFonts w:eastAsia="宋体" w:cs="Times New Roman"/>
                <w:bCs/>
                <w:szCs w:val="21"/>
              </w:rPr>
              <w:t>≥50</w:t>
            </w:r>
          </w:p>
        </w:tc>
        <w:tc>
          <w:tcPr>
            <w:tcW w:w="479" w:type="pct"/>
            <w:vAlign w:val="center"/>
          </w:tcPr>
          <w:p w14:paraId="4307C0DB">
            <w:pPr>
              <w:ind w:left="-53" w:leftChars="-25" w:right="-53" w:rightChars="-25"/>
              <w:jc w:val="center"/>
              <w:rPr>
                <w:rFonts w:eastAsia="宋体" w:cs="Times New Roman"/>
                <w:bCs/>
                <w:szCs w:val="21"/>
              </w:rPr>
            </w:pPr>
            <w:r>
              <w:rPr>
                <w:rFonts w:eastAsia="宋体" w:cs="Times New Roman"/>
                <w:bCs/>
                <w:szCs w:val="21"/>
              </w:rPr>
              <w:t>≥50</w:t>
            </w:r>
          </w:p>
        </w:tc>
        <w:tc>
          <w:tcPr>
            <w:tcW w:w="465" w:type="pct"/>
            <w:vAlign w:val="center"/>
          </w:tcPr>
          <w:p w14:paraId="1B7E64CE">
            <w:pPr>
              <w:ind w:left="-53" w:leftChars="-25" w:right="-53" w:rightChars="-25"/>
              <w:jc w:val="center"/>
              <w:rPr>
                <w:rFonts w:eastAsia="宋体" w:cs="Times New Roman"/>
                <w:bCs/>
                <w:szCs w:val="21"/>
              </w:rPr>
            </w:pPr>
            <w:r>
              <w:rPr>
                <w:rFonts w:eastAsia="宋体" w:cs="Times New Roman"/>
                <w:bCs/>
                <w:szCs w:val="21"/>
              </w:rPr>
              <w:t>≥50</w:t>
            </w:r>
          </w:p>
        </w:tc>
        <w:tc>
          <w:tcPr>
            <w:tcW w:w="299" w:type="pct"/>
            <w:vAlign w:val="center"/>
          </w:tcPr>
          <w:p w14:paraId="5AEE051B">
            <w:pPr>
              <w:ind w:left="-53" w:leftChars="-25" w:right="-53" w:rightChars="-25"/>
              <w:jc w:val="center"/>
              <w:rPr>
                <w:rFonts w:eastAsia="宋体" w:cs="Times New Roman"/>
                <w:szCs w:val="21"/>
              </w:rPr>
            </w:pPr>
            <w:r>
              <w:rPr>
                <w:rFonts w:eastAsia="宋体" w:cs="Times New Roman"/>
                <w:bCs/>
                <w:szCs w:val="21"/>
              </w:rPr>
              <w:t>约束性</w:t>
            </w:r>
          </w:p>
        </w:tc>
      </w:tr>
      <w:tr w14:paraId="672713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4" w:type="pct"/>
            <w:vMerge w:val="continue"/>
            <w:vAlign w:val="center"/>
          </w:tcPr>
          <w:p w14:paraId="4E6372C0">
            <w:pPr>
              <w:ind w:left="-53" w:leftChars="-25" w:right="-53" w:rightChars="-25"/>
              <w:jc w:val="center"/>
              <w:rPr>
                <w:rFonts w:eastAsia="宋体" w:cs="Times New Roman"/>
                <w:szCs w:val="21"/>
              </w:rPr>
            </w:pPr>
          </w:p>
        </w:tc>
        <w:tc>
          <w:tcPr>
            <w:tcW w:w="260" w:type="pct"/>
            <w:vMerge w:val="continue"/>
            <w:vAlign w:val="center"/>
          </w:tcPr>
          <w:p w14:paraId="5835FE80">
            <w:pPr>
              <w:ind w:left="-53" w:leftChars="-25" w:right="-53" w:rightChars="-25"/>
              <w:rPr>
                <w:rFonts w:eastAsia="宋体" w:cs="Times New Roman"/>
                <w:szCs w:val="21"/>
              </w:rPr>
            </w:pPr>
          </w:p>
        </w:tc>
        <w:tc>
          <w:tcPr>
            <w:tcW w:w="162" w:type="pct"/>
            <w:vAlign w:val="center"/>
          </w:tcPr>
          <w:p w14:paraId="2A714AAB">
            <w:pPr>
              <w:ind w:left="-53" w:leftChars="-25" w:right="-53" w:rightChars="-25"/>
              <w:jc w:val="center"/>
              <w:rPr>
                <w:rFonts w:eastAsia="宋体" w:cs="Times New Roman"/>
                <w:szCs w:val="21"/>
              </w:rPr>
            </w:pPr>
            <w:r>
              <w:rPr>
                <w:rFonts w:eastAsia="宋体" w:cs="Times New Roman"/>
                <w:szCs w:val="21"/>
              </w:rPr>
              <w:t>15</w:t>
            </w:r>
          </w:p>
        </w:tc>
        <w:tc>
          <w:tcPr>
            <w:tcW w:w="1001" w:type="pct"/>
            <w:vAlign w:val="center"/>
          </w:tcPr>
          <w:p w14:paraId="574A579D">
            <w:pPr>
              <w:ind w:left="-53" w:leftChars="-25" w:right="-53" w:rightChars="-25"/>
              <w:rPr>
                <w:rFonts w:eastAsia="宋体" w:cs="Times New Roman"/>
                <w:szCs w:val="21"/>
              </w:rPr>
            </w:pPr>
            <w:r>
              <w:rPr>
                <w:rFonts w:eastAsia="宋体" w:cs="Times New Roman"/>
                <w:bCs/>
                <w:szCs w:val="21"/>
              </w:rPr>
              <w:t>林草覆盖率</w:t>
            </w:r>
          </w:p>
          <w:p w14:paraId="5A10058A">
            <w:pPr>
              <w:ind w:left="-53" w:leftChars="-25" w:right="-53" w:rightChars="-25" w:firstLine="105" w:firstLineChars="50"/>
              <w:rPr>
                <w:rFonts w:eastAsia="宋体" w:cs="Times New Roman"/>
                <w:szCs w:val="21"/>
              </w:rPr>
            </w:pPr>
            <w:r>
              <w:rPr>
                <w:rFonts w:eastAsia="宋体" w:cs="Times New Roman"/>
                <w:bCs/>
                <w:szCs w:val="21"/>
              </w:rPr>
              <w:t>（藏东南高山峡谷地区）</w:t>
            </w:r>
          </w:p>
        </w:tc>
        <w:tc>
          <w:tcPr>
            <w:tcW w:w="222" w:type="pct"/>
            <w:vAlign w:val="center"/>
          </w:tcPr>
          <w:p w14:paraId="33B1615D">
            <w:pPr>
              <w:ind w:left="-53" w:leftChars="-25" w:right="-53" w:rightChars="-25"/>
              <w:jc w:val="center"/>
              <w:rPr>
                <w:rFonts w:eastAsia="宋体" w:cs="Times New Roman"/>
                <w:szCs w:val="21"/>
              </w:rPr>
            </w:pPr>
          </w:p>
          <w:p w14:paraId="36F10BA5">
            <w:pPr>
              <w:ind w:left="-53" w:leftChars="-25" w:right="-53" w:rightChars="-25"/>
              <w:jc w:val="center"/>
              <w:rPr>
                <w:rFonts w:eastAsia="宋体" w:cs="Times New Roman"/>
                <w:szCs w:val="21"/>
              </w:rPr>
            </w:pPr>
            <w:r>
              <w:rPr>
                <w:rFonts w:eastAsia="宋体" w:cs="Times New Roman"/>
                <w:szCs w:val="21"/>
              </w:rPr>
              <w:t>%</w:t>
            </w:r>
          </w:p>
        </w:tc>
        <w:tc>
          <w:tcPr>
            <w:tcW w:w="433" w:type="pct"/>
            <w:vAlign w:val="center"/>
          </w:tcPr>
          <w:p w14:paraId="58589121">
            <w:pPr>
              <w:ind w:left="-53" w:leftChars="-25" w:right="-53" w:rightChars="-25"/>
              <w:jc w:val="center"/>
              <w:rPr>
                <w:rFonts w:eastAsia="宋体" w:cs="Times New Roman"/>
                <w:szCs w:val="21"/>
              </w:rPr>
            </w:pPr>
            <w:r>
              <w:rPr>
                <w:rFonts w:eastAsia="宋体" w:cs="Times New Roman"/>
                <w:bCs/>
                <w:szCs w:val="21"/>
              </w:rPr>
              <w:t>≥82</w:t>
            </w:r>
          </w:p>
        </w:tc>
        <w:tc>
          <w:tcPr>
            <w:tcW w:w="473" w:type="pct"/>
            <w:vAlign w:val="center"/>
          </w:tcPr>
          <w:p w14:paraId="58C4972C">
            <w:pPr>
              <w:ind w:left="-53" w:leftChars="-25" w:right="-53" w:rightChars="-25"/>
              <w:jc w:val="center"/>
              <w:rPr>
                <w:rFonts w:eastAsia="宋体" w:cs="Times New Roman"/>
                <w:szCs w:val="21"/>
                <w:highlight w:val="yellow"/>
              </w:rPr>
            </w:pPr>
            <w:r>
              <w:rPr>
                <w:rFonts w:eastAsia="宋体" w:cs="Times New Roman"/>
                <w:szCs w:val="21"/>
              </w:rPr>
              <w:t>92.63</w:t>
            </w:r>
          </w:p>
        </w:tc>
        <w:tc>
          <w:tcPr>
            <w:tcW w:w="564" w:type="pct"/>
            <w:vAlign w:val="center"/>
          </w:tcPr>
          <w:p w14:paraId="08E85A50">
            <w:pPr>
              <w:ind w:left="-53" w:leftChars="-25" w:right="-53" w:rightChars="-25"/>
              <w:jc w:val="center"/>
              <w:rPr>
                <w:rFonts w:eastAsia="宋体" w:cs="Times New Roman"/>
                <w:szCs w:val="21"/>
              </w:rPr>
            </w:pPr>
            <w:r>
              <w:rPr>
                <w:rFonts w:eastAsia="宋体" w:cs="Times New Roman"/>
                <w:bCs/>
                <w:szCs w:val="21"/>
              </w:rPr>
              <w:t>已完成</w:t>
            </w:r>
          </w:p>
        </w:tc>
        <w:tc>
          <w:tcPr>
            <w:tcW w:w="483" w:type="pct"/>
            <w:vAlign w:val="center"/>
          </w:tcPr>
          <w:p w14:paraId="54DD750B">
            <w:pPr>
              <w:ind w:left="-53" w:leftChars="-25" w:right="-53" w:rightChars="-25"/>
              <w:jc w:val="center"/>
              <w:rPr>
                <w:rFonts w:eastAsia="宋体" w:cs="Times New Roman"/>
                <w:bCs/>
                <w:szCs w:val="21"/>
              </w:rPr>
            </w:pPr>
            <w:r>
              <w:rPr>
                <w:rFonts w:eastAsia="宋体" w:cs="Times New Roman"/>
                <w:bCs/>
                <w:szCs w:val="21"/>
              </w:rPr>
              <w:t>≥92.63</w:t>
            </w:r>
          </w:p>
        </w:tc>
        <w:tc>
          <w:tcPr>
            <w:tcW w:w="479" w:type="pct"/>
            <w:vAlign w:val="center"/>
          </w:tcPr>
          <w:p w14:paraId="4EE019DC">
            <w:pPr>
              <w:ind w:left="-53" w:leftChars="-25" w:right="-53" w:rightChars="-25"/>
              <w:jc w:val="center"/>
              <w:rPr>
                <w:rFonts w:eastAsia="宋体" w:cs="Times New Roman"/>
                <w:bCs/>
                <w:szCs w:val="21"/>
              </w:rPr>
            </w:pPr>
            <w:r>
              <w:rPr>
                <w:rFonts w:eastAsia="宋体" w:cs="Times New Roman"/>
                <w:bCs/>
                <w:szCs w:val="21"/>
              </w:rPr>
              <w:t>≥92.63</w:t>
            </w:r>
          </w:p>
        </w:tc>
        <w:tc>
          <w:tcPr>
            <w:tcW w:w="465" w:type="pct"/>
            <w:vAlign w:val="center"/>
          </w:tcPr>
          <w:p w14:paraId="064CF839">
            <w:pPr>
              <w:ind w:left="-53" w:leftChars="-25" w:right="-53" w:rightChars="-25"/>
              <w:jc w:val="center"/>
              <w:rPr>
                <w:rFonts w:eastAsia="宋体" w:cs="Times New Roman"/>
                <w:bCs/>
                <w:szCs w:val="21"/>
              </w:rPr>
            </w:pPr>
            <w:r>
              <w:rPr>
                <w:rFonts w:eastAsia="宋体" w:cs="Times New Roman"/>
                <w:bCs/>
                <w:szCs w:val="21"/>
              </w:rPr>
              <w:t>≥92.63</w:t>
            </w:r>
          </w:p>
        </w:tc>
        <w:tc>
          <w:tcPr>
            <w:tcW w:w="299" w:type="pct"/>
            <w:vAlign w:val="center"/>
          </w:tcPr>
          <w:p w14:paraId="51DB5A61">
            <w:pPr>
              <w:ind w:left="-53" w:leftChars="-25" w:right="-53" w:rightChars="-25"/>
              <w:jc w:val="center"/>
              <w:rPr>
                <w:rFonts w:eastAsia="宋体" w:cs="Times New Roman"/>
                <w:szCs w:val="21"/>
              </w:rPr>
            </w:pPr>
            <w:r>
              <w:rPr>
                <w:rFonts w:eastAsia="宋体" w:cs="Times New Roman"/>
                <w:bCs/>
                <w:szCs w:val="21"/>
              </w:rPr>
              <w:t>参考性</w:t>
            </w:r>
          </w:p>
        </w:tc>
      </w:tr>
      <w:tr w14:paraId="1508A5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4" w:type="pct"/>
            <w:vMerge w:val="continue"/>
            <w:vAlign w:val="center"/>
          </w:tcPr>
          <w:p w14:paraId="612414A7">
            <w:pPr>
              <w:ind w:left="-53" w:leftChars="-25" w:right="-53" w:rightChars="-25"/>
              <w:jc w:val="center"/>
              <w:rPr>
                <w:rFonts w:eastAsia="宋体" w:cs="Times New Roman"/>
                <w:szCs w:val="21"/>
              </w:rPr>
            </w:pPr>
          </w:p>
        </w:tc>
        <w:tc>
          <w:tcPr>
            <w:tcW w:w="260" w:type="pct"/>
            <w:vMerge w:val="continue"/>
            <w:vAlign w:val="center"/>
          </w:tcPr>
          <w:p w14:paraId="40392DE0">
            <w:pPr>
              <w:ind w:left="-53" w:leftChars="-25" w:right="-53" w:rightChars="-25"/>
              <w:rPr>
                <w:rFonts w:eastAsia="宋体" w:cs="Times New Roman"/>
                <w:szCs w:val="21"/>
              </w:rPr>
            </w:pPr>
          </w:p>
        </w:tc>
        <w:tc>
          <w:tcPr>
            <w:tcW w:w="162" w:type="pct"/>
            <w:vAlign w:val="center"/>
          </w:tcPr>
          <w:p w14:paraId="6CA1B0BB">
            <w:pPr>
              <w:ind w:left="-53" w:leftChars="-25" w:right="-53" w:rightChars="-25"/>
              <w:jc w:val="center"/>
              <w:rPr>
                <w:rFonts w:eastAsia="宋体" w:cs="Times New Roman"/>
                <w:szCs w:val="21"/>
              </w:rPr>
            </w:pPr>
            <w:r>
              <w:rPr>
                <w:rFonts w:eastAsia="宋体" w:cs="Times New Roman"/>
                <w:szCs w:val="21"/>
              </w:rPr>
              <w:t>16</w:t>
            </w:r>
          </w:p>
        </w:tc>
        <w:tc>
          <w:tcPr>
            <w:tcW w:w="1001" w:type="pct"/>
            <w:vAlign w:val="center"/>
          </w:tcPr>
          <w:p w14:paraId="1205E548">
            <w:pPr>
              <w:ind w:left="157" w:leftChars="-25" w:right="-53" w:rightChars="-25" w:hanging="210" w:hangingChars="100"/>
              <w:rPr>
                <w:rFonts w:eastAsia="宋体" w:cs="Times New Roman"/>
                <w:bCs/>
                <w:szCs w:val="21"/>
              </w:rPr>
            </w:pPr>
            <w:r>
              <w:rPr>
                <w:rFonts w:eastAsia="宋体" w:cs="Times New Roman"/>
                <w:bCs/>
                <w:szCs w:val="21"/>
              </w:rPr>
              <w:t>生物多样性保护</w:t>
            </w:r>
          </w:p>
          <w:p w14:paraId="0739ABA3">
            <w:pPr>
              <w:ind w:left="157" w:leftChars="-25" w:right="-53" w:rightChars="-25" w:hanging="210" w:hangingChars="100"/>
              <w:jc w:val="left"/>
              <w:rPr>
                <w:rFonts w:eastAsia="宋体" w:cs="Times New Roman"/>
                <w:bCs/>
                <w:szCs w:val="21"/>
              </w:rPr>
            </w:pPr>
            <w:r>
              <w:rPr>
                <w:rFonts w:eastAsia="宋体" w:cs="Times New Roman"/>
                <w:bCs/>
                <w:szCs w:val="21"/>
              </w:rPr>
              <w:t>国家重点保护野生动植物保护率</w:t>
            </w:r>
          </w:p>
          <w:p w14:paraId="4A7A53B2">
            <w:pPr>
              <w:ind w:left="157" w:leftChars="-25" w:right="-53" w:rightChars="-25" w:hanging="210" w:hangingChars="100"/>
              <w:rPr>
                <w:rFonts w:eastAsia="宋体" w:cs="Times New Roman"/>
                <w:bCs/>
                <w:szCs w:val="21"/>
              </w:rPr>
            </w:pPr>
            <w:r>
              <w:rPr>
                <w:rFonts w:eastAsia="宋体" w:cs="Times New Roman"/>
                <w:bCs/>
                <w:szCs w:val="21"/>
              </w:rPr>
              <w:t>外来入侵物种</w:t>
            </w:r>
          </w:p>
          <w:p w14:paraId="51E9B871">
            <w:pPr>
              <w:ind w:left="157" w:leftChars="-25" w:right="-53" w:rightChars="-25" w:hanging="210" w:hangingChars="100"/>
              <w:rPr>
                <w:rFonts w:eastAsia="宋体" w:cs="Times New Roman"/>
                <w:szCs w:val="21"/>
              </w:rPr>
            </w:pPr>
            <w:r>
              <w:rPr>
                <w:rFonts w:eastAsia="宋体" w:cs="Times New Roman"/>
                <w:bCs/>
                <w:szCs w:val="21"/>
              </w:rPr>
              <w:t>特有性或指示性水生物种保持率</w:t>
            </w:r>
          </w:p>
        </w:tc>
        <w:tc>
          <w:tcPr>
            <w:tcW w:w="222" w:type="pct"/>
            <w:vAlign w:val="center"/>
          </w:tcPr>
          <w:p w14:paraId="0E55ACA8">
            <w:pPr>
              <w:ind w:left="-53" w:leftChars="-25" w:right="-53" w:rightChars="-25"/>
              <w:jc w:val="center"/>
              <w:rPr>
                <w:rFonts w:eastAsia="宋体" w:cs="Times New Roman"/>
                <w:szCs w:val="21"/>
              </w:rPr>
            </w:pPr>
            <w:r>
              <w:rPr>
                <w:rFonts w:eastAsia="宋体" w:cs="Times New Roman"/>
                <w:bCs/>
                <w:szCs w:val="21"/>
              </w:rPr>
              <w:t>%</w:t>
            </w:r>
          </w:p>
          <w:p w14:paraId="07CD6833">
            <w:pPr>
              <w:ind w:left="-53" w:leftChars="-25" w:right="-53" w:rightChars="-25"/>
              <w:jc w:val="center"/>
              <w:rPr>
                <w:rFonts w:eastAsia="宋体" w:cs="Times New Roman"/>
                <w:szCs w:val="21"/>
              </w:rPr>
            </w:pPr>
            <w:r>
              <w:rPr>
                <w:rFonts w:eastAsia="宋体" w:cs="Times New Roman"/>
                <w:bCs/>
                <w:szCs w:val="21"/>
              </w:rPr>
              <w:t>-</w:t>
            </w:r>
          </w:p>
          <w:p w14:paraId="6E2324B9">
            <w:pPr>
              <w:ind w:left="-53" w:leftChars="-25" w:right="-53" w:rightChars="-25"/>
              <w:jc w:val="center"/>
              <w:rPr>
                <w:rFonts w:eastAsia="宋体" w:cs="Times New Roman"/>
                <w:szCs w:val="21"/>
              </w:rPr>
            </w:pPr>
            <w:r>
              <w:rPr>
                <w:rFonts w:eastAsia="宋体" w:cs="Times New Roman"/>
                <w:bCs/>
                <w:szCs w:val="21"/>
              </w:rPr>
              <w:t>%</w:t>
            </w:r>
          </w:p>
        </w:tc>
        <w:tc>
          <w:tcPr>
            <w:tcW w:w="433" w:type="pct"/>
            <w:vAlign w:val="center"/>
          </w:tcPr>
          <w:p w14:paraId="5544AFE3">
            <w:pPr>
              <w:ind w:left="-53" w:leftChars="-25" w:right="-53" w:rightChars="-25"/>
              <w:jc w:val="center"/>
              <w:rPr>
                <w:rFonts w:eastAsia="宋体" w:cs="Times New Roman"/>
                <w:bCs/>
                <w:szCs w:val="21"/>
              </w:rPr>
            </w:pPr>
            <w:r>
              <w:rPr>
                <w:rFonts w:eastAsia="宋体" w:cs="Times New Roman"/>
                <w:bCs/>
                <w:szCs w:val="21"/>
              </w:rPr>
              <w:t>≥95</w:t>
            </w:r>
          </w:p>
          <w:p w14:paraId="471C79D8">
            <w:pPr>
              <w:ind w:left="-53" w:leftChars="-25" w:right="-53" w:rightChars="-25"/>
              <w:jc w:val="center"/>
              <w:rPr>
                <w:rFonts w:eastAsia="宋体" w:cs="Times New Roman"/>
                <w:bCs/>
                <w:szCs w:val="21"/>
              </w:rPr>
            </w:pPr>
            <w:r>
              <w:rPr>
                <w:rFonts w:eastAsia="宋体" w:cs="Times New Roman"/>
                <w:bCs/>
                <w:szCs w:val="21"/>
              </w:rPr>
              <w:t>不明显</w:t>
            </w:r>
          </w:p>
          <w:p w14:paraId="2A7B4044">
            <w:pPr>
              <w:ind w:left="-53" w:leftChars="-25" w:right="-53" w:rightChars="-25"/>
              <w:jc w:val="center"/>
              <w:rPr>
                <w:rFonts w:eastAsia="宋体" w:cs="Times New Roman"/>
                <w:szCs w:val="21"/>
              </w:rPr>
            </w:pPr>
            <w:r>
              <w:rPr>
                <w:rFonts w:eastAsia="宋体" w:cs="Times New Roman"/>
                <w:bCs/>
                <w:szCs w:val="21"/>
              </w:rPr>
              <w:t>不降低</w:t>
            </w:r>
          </w:p>
        </w:tc>
        <w:tc>
          <w:tcPr>
            <w:tcW w:w="473" w:type="pct"/>
            <w:vAlign w:val="center"/>
          </w:tcPr>
          <w:p w14:paraId="555D40A7">
            <w:pPr>
              <w:ind w:left="-53" w:leftChars="-25" w:right="-53" w:rightChars="-25"/>
              <w:jc w:val="center"/>
              <w:rPr>
                <w:rFonts w:eastAsia="宋体" w:cs="Times New Roman"/>
                <w:bCs/>
                <w:szCs w:val="21"/>
              </w:rPr>
            </w:pPr>
            <w:r>
              <w:rPr>
                <w:rFonts w:eastAsia="宋体" w:cs="Times New Roman"/>
                <w:bCs/>
                <w:szCs w:val="21"/>
              </w:rPr>
              <w:t>100</w:t>
            </w:r>
          </w:p>
          <w:p w14:paraId="7586193C">
            <w:pPr>
              <w:ind w:left="-53" w:leftChars="-25" w:right="-53" w:rightChars="-25"/>
              <w:jc w:val="center"/>
              <w:rPr>
                <w:rFonts w:eastAsia="宋体" w:cs="Times New Roman"/>
                <w:bCs/>
                <w:szCs w:val="21"/>
              </w:rPr>
            </w:pPr>
            <w:r>
              <w:rPr>
                <w:rFonts w:eastAsia="宋体" w:cs="Times New Roman"/>
                <w:bCs/>
                <w:szCs w:val="21"/>
              </w:rPr>
              <w:t>不明显</w:t>
            </w:r>
          </w:p>
          <w:p w14:paraId="34831972">
            <w:pPr>
              <w:ind w:left="-53" w:leftChars="-25" w:right="-53" w:rightChars="-25"/>
              <w:jc w:val="center"/>
              <w:rPr>
                <w:rFonts w:eastAsia="宋体" w:cs="Times New Roman"/>
                <w:szCs w:val="21"/>
              </w:rPr>
            </w:pPr>
            <w:r>
              <w:rPr>
                <w:rFonts w:eastAsia="宋体" w:cs="Times New Roman"/>
                <w:bCs/>
                <w:szCs w:val="21"/>
              </w:rPr>
              <w:t>不降低</w:t>
            </w:r>
          </w:p>
        </w:tc>
        <w:tc>
          <w:tcPr>
            <w:tcW w:w="564" w:type="pct"/>
            <w:vAlign w:val="center"/>
          </w:tcPr>
          <w:p w14:paraId="2473EDA0">
            <w:pPr>
              <w:ind w:left="-53" w:leftChars="-25" w:right="-53" w:rightChars="-25"/>
              <w:jc w:val="center"/>
              <w:rPr>
                <w:rFonts w:eastAsia="宋体" w:cs="Times New Roman"/>
                <w:szCs w:val="21"/>
              </w:rPr>
            </w:pPr>
            <w:r>
              <w:rPr>
                <w:rFonts w:eastAsia="宋体" w:cs="Times New Roman"/>
                <w:bCs/>
                <w:szCs w:val="21"/>
              </w:rPr>
              <w:t>已完成</w:t>
            </w:r>
          </w:p>
        </w:tc>
        <w:tc>
          <w:tcPr>
            <w:tcW w:w="483" w:type="pct"/>
            <w:vAlign w:val="center"/>
          </w:tcPr>
          <w:p w14:paraId="0E6FEA58">
            <w:pPr>
              <w:ind w:left="-53" w:leftChars="-25" w:right="-53" w:rightChars="-25"/>
              <w:jc w:val="center"/>
              <w:rPr>
                <w:rFonts w:eastAsia="宋体" w:cs="Times New Roman"/>
                <w:bCs/>
                <w:szCs w:val="21"/>
              </w:rPr>
            </w:pPr>
            <w:r>
              <w:rPr>
                <w:rFonts w:eastAsia="宋体" w:cs="Times New Roman"/>
                <w:bCs/>
                <w:szCs w:val="21"/>
              </w:rPr>
              <w:t>100</w:t>
            </w:r>
          </w:p>
          <w:p w14:paraId="767DF5ED">
            <w:pPr>
              <w:ind w:left="-53" w:leftChars="-25" w:right="-53" w:rightChars="-25"/>
              <w:jc w:val="center"/>
              <w:rPr>
                <w:rFonts w:eastAsia="宋体" w:cs="Times New Roman"/>
                <w:bCs/>
                <w:szCs w:val="21"/>
              </w:rPr>
            </w:pPr>
            <w:r>
              <w:rPr>
                <w:rFonts w:eastAsia="宋体" w:cs="Times New Roman"/>
                <w:bCs/>
                <w:szCs w:val="21"/>
              </w:rPr>
              <w:t>不明显</w:t>
            </w:r>
          </w:p>
          <w:p w14:paraId="59507BA2">
            <w:pPr>
              <w:ind w:left="-53" w:leftChars="-25" w:right="-53" w:rightChars="-25"/>
              <w:jc w:val="center"/>
              <w:rPr>
                <w:rFonts w:eastAsia="宋体" w:cs="Times New Roman"/>
                <w:bCs/>
                <w:szCs w:val="21"/>
              </w:rPr>
            </w:pPr>
            <w:r>
              <w:rPr>
                <w:rFonts w:eastAsia="宋体" w:cs="Times New Roman"/>
                <w:bCs/>
                <w:szCs w:val="21"/>
              </w:rPr>
              <w:t>不降低</w:t>
            </w:r>
          </w:p>
        </w:tc>
        <w:tc>
          <w:tcPr>
            <w:tcW w:w="479" w:type="pct"/>
            <w:vAlign w:val="center"/>
          </w:tcPr>
          <w:p w14:paraId="7FA3DD79">
            <w:pPr>
              <w:ind w:left="-53" w:leftChars="-25" w:right="-53" w:rightChars="-25"/>
              <w:jc w:val="center"/>
              <w:rPr>
                <w:rFonts w:eastAsia="宋体" w:cs="Times New Roman"/>
                <w:bCs/>
                <w:szCs w:val="21"/>
              </w:rPr>
            </w:pPr>
            <w:r>
              <w:rPr>
                <w:rFonts w:eastAsia="宋体" w:cs="Times New Roman"/>
                <w:bCs/>
                <w:szCs w:val="21"/>
              </w:rPr>
              <w:t>100</w:t>
            </w:r>
          </w:p>
          <w:p w14:paraId="4C74732D">
            <w:pPr>
              <w:ind w:left="-53" w:leftChars="-25" w:right="-53" w:rightChars="-25"/>
              <w:jc w:val="center"/>
              <w:rPr>
                <w:rFonts w:eastAsia="宋体" w:cs="Times New Roman"/>
                <w:bCs/>
                <w:szCs w:val="21"/>
              </w:rPr>
            </w:pPr>
            <w:r>
              <w:rPr>
                <w:rFonts w:eastAsia="宋体" w:cs="Times New Roman"/>
                <w:bCs/>
                <w:szCs w:val="21"/>
              </w:rPr>
              <w:t>不明显</w:t>
            </w:r>
          </w:p>
          <w:p w14:paraId="2A7367E1">
            <w:pPr>
              <w:ind w:left="-53" w:leftChars="-25" w:right="-53" w:rightChars="-25"/>
              <w:jc w:val="center"/>
              <w:rPr>
                <w:rFonts w:eastAsia="宋体" w:cs="Times New Roman"/>
                <w:bCs/>
                <w:szCs w:val="21"/>
              </w:rPr>
            </w:pPr>
            <w:r>
              <w:rPr>
                <w:rFonts w:eastAsia="宋体" w:cs="Times New Roman"/>
                <w:bCs/>
                <w:szCs w:val="21"/>
              </w:rPr>
              <w:t>不降低</w:t>
            </w:r>
          </w:p>
        </w:tc>
        <w:tc>
          <w:tcPr>
            <w:tcW w:w="465" w:type="pct"/>
            <w:vAlign w:val="center"/>
          </w:tcPr>
          <w:p w14:paraId="2864F71C">
            <w:pPr>
              <w:ind w:left="-53" w:leftChars="-25" w:right="-53" w:rightChars="-25"/>
              <w:jc w:val="center"/>
              <w:rPr>
                <w:rFonts w:eastAsia="宋体" w:cs="Times New Roman"/>
                <w:bCs/>
                <w:szCs w:val="21"/>
              </w:rPr>
            </w:pPr>
            <w:r>
              <w:rPr>
                <w:rFonts w:eastAsia="宋体" w:cs="Times New Roman"/>
                <w:bCs/>
                <w:szCs w:val="21"/>
              </w:rPr>
              <w:t>100</w:t>
            </w:r>
          </w:p>
          <w:p w14:paraId="4468B4E1">
            <w:pPr>
              <w:ind w:left="-53" w:leftChars="-25" w:right="-53" w:rightChars="-25"/>
              <w:jc w:val="center"/>
              <w:rPr>
                <w:rFonts w:eastAsia="宋体" w:cs="Times New Roman"/>
                <w:bCs/>
                <w:szCs w:val="21"/>
              </w:rPr>
            </w:pPr>
            <w:r>
              <w:rPr>
                <w:rFonts w:eastAsia="宋体" w:cs="Times New Roman"/>
                <w:bCs/>
                <w:szCs w:val="21"/>
              </w:rPr>
              <w:t>不明显</w:t>
            </w:r>
          </w:p>
          <w:p w14:paraId="7FEFEF0E">
            <w:pPr>
              <w:ind w:left="-53" w:leftChars="-25" w:right="-53" w:rightChars="-25"/>
              <w:jc w:val="center"/>
              <w:rPr>
                <w:rFonts w:eastAsia="宋体" w:cs="Times New Roman"/>
                <w:bCs/>
                <w:szCs w:val="21"/>
              </w:rPr>
            </w:pPr>
            <w:r>
              <w:rPr>
                <w:rFonts w:eastAsia="宋体" w:cs="Times New Roman"/>
                <w:bCs/>
                <w:szCs w:val="21"/>
              </w:rPr>
              <w:t>不降低</w:t>
            </w:r>
          </w:p>
        </w:tc>
        <w:tc>
          <w:tcPr>
            <w:tcW w:w="299" w:type="pct"/>
            <w:vAlign w:val="center"/>
          </w:tcPr>
          <w:p w14:paraId="32B2EBB1">
            <w:pPr>
              <w:ind w:left="-53" w:leftChars="-25" w:right="-53" w:rightChars="-25"/>
              <w:jc w:val="center"/>
              <w:rPr>
                <w:rFonts w:eastAsia="宋体" w:cs="Times New Roman"/>
                <w:szCs w:val="21"/>
              </w:rPr>
            </w:pPr>
            <w:r>
              <w:rPr>
                <w:rFonts w:eastAsia="宋体" w:cs="Times New Roman"/>
                <w:bCs/>
                <w:szCs w:val="21"/>
              </w:rPr>
              <w:t>参考性</w:t>
            </w:r>
          </w:p>
        </w:tc>
      </w:tr>
      <w:tr w14:paraId="48B097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4" w:type="pct"/>
            <w:vMerge w:val="continue"/>
            <w:vAlign w:val="center"/>
          </w:tcPr>
          <w:p w14:paraId="07C845B9">
            <w:pPr>
              <w:ind w:left="-53" w:leftChars="-25" w:right="-53" w:rightChars="-25"/>
              <w:jc w:val="center"/>
              <w:rPr>
                <w:rFonts w:eastAsia="宋体" w:cs="Times New Roman"/>
                <w:szCs w:val="21"/>
              </w:rPr>
            </w:pPr>
          </w:p>
        </w:tc>
        <w:tc>
          <w:tcPr>
            <w:tcW w:w="260" w:type="pct"/>
            <w:vMerge w:val="continue"/>
            <w:vAlign w:val="center"/>
          </w:tcPr>
          <w:p w14:paraId="29279151">
            <w:pPr>
              <w:ind w:left="-53" w:leftChars="-25" w:right="-53" w:rightChars="-25"/>
              <w:rPr>
                <w:rFonts w:eastAsia="宋体" w:cs="Times New Roman"/>
                <w:szCs w:val="21"/>
              </w:rPr>
            </w:pPr>
          </w:p>
        </w:tc>
        <w:tc>
          <w:tcPr>
            <w:tcW w:w="162" w:type="pct"/>
            <w:vAlign w:val="center"/>
          </w:tcPr>
          <w:p w14:paraId="6DFE925C">
            <w:pPr>
              <w:ind w:left="-53" w:leftChars="-25" w:right="-53" w:rightChars="-25"/>
              <w:jc w:val="center"/>
              <w:rPr>
                <w:rFonts w:eastAsia="宋体" w:cs="Times New Roman"/>
                <w:szCs w:val="21"/>
              </w:rPr>
            </w:pPr>
            <w:r>
              <w:rPr>
                <w:rFonts w:eastAsia="宋体" w:cs="Times New Roman"/>
                <w:szCs w:val="21"/>
              </w:rPr>
              <w:t>17</w:t>
            </w:r>
          </w:p>
        </w:tc>
        <w:tc>
          <w:tcPr>
            <w:tcW w:w="1001" w:type="pct"/>
            <w:vAlign w:val="center"/>
          </w:tcPr>
          <w:p w14:paraId="5A41CDA1">
            <w:pPr>
              <w:ind w:left="-53" w:leftChars="-25" w:right="-53" w:rightChars="-25"/>
              <w:rPr>
                <w:rFonts w:eastAsia="宋体" w:cs="Times New Roman"/>
                <w:szCs w:val="21"/>
              </w:rPr>
            </w:pPr>
            <w:r>
              <w:rPr>
                <w:rFonts w:eastAsia="宋体" w:cs="Times New Roman"/>
                <w:bCs/>
                <w:szCs w:val="21"/>
              </w:rPr>
              <w:t>草畜平衡</w:t>
            </w:r>
          </w:p>
        </w:tc>
        <w:tc>
          <w:tcPr>
            <w:tcW w:w="222" w:type="pct"/>
            <w:vAlign w:val="center"/>
          </w:tcPr>
          <w:p w14:paraId="297A7D38">
            <w:pPr>
              <w:ind w:left="-53" w:leftChars="-25" w:right="-53" w:rightChars="-25"/>
              <w:jc w:val="center"/>
              <w:rPr>
                <w:rFonts w:eastAsia="宋体" w:cs="Times New Roman"/>
                <w:szCs w:val="21"/>
              </w:rPr>
            </w:pPr>
            <w:r>
              <w:rPr>
                <w:rFonts w:eastAsia="宋体" w:cs="Times New Roman"/>
                <w:szCs w:val="21"/>
              </w:rPr>
              <w:t>-</w:t>
            </w:r>
          </w:p>
        </w:tc>
        <w:tc>
          <w:tcPr>
            <w:tcW w:w="433" w:type="pct"/>
            <w:vAlign w:val="center"/>
          </w:tcPr>
          <w:p w14:paraId="5B229E1D">
            <w:pPr>
              <w:ind w:left="-53" w:leftChars="-25" w:right="-53" w:rightChars="-25"/>
              <w:jc w:val="center"/>
              <w:rPr>
                <w:rFonts w:eastAsia="宋体" w:cs="Times New Roman"/>
                <w:szCs w:val="21"/>
              </w:rPr>
            </w:pPr>
            <w:r>
              <w:rPr>
                <w:rFonts w:eastAsia="宋体" w:cs="Times New Roman"/>
                <w:bCs/>
                <w:szCs w:val="21"/>
              </w:rPr>
              <w:t>达到</w:t>
            </w:r>
          </w:p>
        </w:tc>
        <w:tc>
          <w:tcPr>
            <w:tcW w:w="473" w:type="pct"/>
            <w:vAlign w:val="center"/>
          </w:tcPr>
          <w:p w14:paraId="5A18B765">
            <w:pPr>
              <w:ind w:left="-53" w:leftChars="-25" w:right="-53" w:rightChars="-25"/>
              <w:jc w:val="center"/>
              <w:rPr>
                <w:rFonts w:eastAsia="宋体" w:cs="Times New Roman"/>
                <w:szCs w:val="21"/>
              </w:rPr>
            </w:pPr>
            <w:r>
              <w:rPr>
                <w:rFonts w:eastAsia="宋体" w:cs="Times New Roman"/>
                <w:bCs/>
                <w:szCs w:val="21"/>
              </w:rPr>
              <w:t>达到</w:t>
            </w:r>
          </w:p>
        </w:tc>
        <w:tc>
          <w:tcPr>
            <w:tcW w:w="564" w:type="pct"/>
            <w:vAlign w:val="center"/>
          </w:tcPr>
          <w:p w14:paraId="01407703">
            <w:pPr>
              <w:ind w:left="-53" w:leftChars="-25" w:right="-53" w:rightChars="-25"/>
              <w:jc w:val="center"/>
              <w:rPr>
                <w:rFonts w:eastAsia="宋体" w:cs="Times New Roman"/>
                <w:szCs w:val="21"/>
              </w:rPr>
            </w:pPr>
            <w:r>
              <w:rPr>
                <w:rFonts w:eastAsia="宋体" w:cs="Times New Roman"/>
                <w:bCs/>
                <w:szCs w:val="21"/>
              </w:rPr>
              <w:t>已完成</w:t>
            </w:r>
          </w:p>
        </w:tc>
        <w:tc>
          <w:tcPr>
            <w:tcW w:w="483" w:type="pct"/>
            <w:vAlign w:val="center"/>
          </w:tcPr>
          <w:p w14:paraId="21224EFC">
            <w:pPr>
              <w:ind w:left="-53" w:leftChars="-25" w:right="-53" w:rightChars="-25"/>
              <w:jc w:val="center"/>
              <w:rPr>
                <w:rFonts w:eastAsia="宋体" w:cs="Times New Roman"/>
                <w:bCs/>
                <w:szCs w:val="21"/>
              </w:rPr>
            </w:pPr>
            <w:r>
              <w:rPr>
                <w:rFonts w:eastAsia="宋体" w:cs="Times New Roman"/>
                <w:bCs/>
                <w:szCs w:val="21"/>
              </w:rPr>
              <w:t>达到</w:t>
            </w:r>
          </w:p>
        </w:tc>
        <w:tc>
          <w:tcPr>
            <w:tcW w:w="479" w:type="pct"/>
            <w:vAlign w:val="center"/>
          </w:tcPr>
          <w:p w14:paraId="3C3CE96C">
            <w:pPr>
              <w:ind w:left="-53" w:leftChars="-25" w:right="-53" w:rightChars="-25"/>
              <w:jc w:val="center"/>
              <w:rPr>
                <w:rFonts w:eastAsia="宋体" w:cs="Times New Roman"/>
                <w:bCs/>
                <w:szCs w:val="21"/>
              </w:rPr>
            </w:pPr>
            <w:r>
              <w:rPr>
                <w:rFonts w:eastAsia="宋体" w:cs="Times New Roman"/>
                <w:bCs/>
                <w:szCs w:val="21"/>
              </w:rPr>
              <w:t>达到</w:t>
            </w:r>
          </w:p>
        </w:tc>
        <w:tc>
          <w:tcPr>
            <w:tcW w:w="465" w:type="pct"/>
            <w:vAlign w:val="center"/>
          </w:tcPr>
          <w:p w14:paraId="07D3AB58">
            <w:pPr>
              <w:ind w:left="-53" w:leftChars="-25" w:right="-53" w:rightChars="-25"/>
              <w:jc w:val="center"/>
              <w:rPr>
                <w:rFonts w:eastAsia="宋体" w:cs="Times New Roman"/>
                <w:bCs/>
                <w:szCs w:val="21"/>
              </w:rPr>
            </w:pPr>
            <w:r>
              <w:rPr>
                <w:rFonts w:eastAsia="宋体" w:cs="Times New Roman"/>
                <w:bCs/>
                <w:szCs w:val="21"/>
              </w:rPr>
              <w:t>达到</w:t>
            </w:r>
          </w:p>
        </w:tc>
        <w:tc>
          <w:tcPr>
            <w:tcW w:w="299" w:type="pct"/>
            <w:vAlign w:val="center"/>
          </w:tcPr>
          <w:p w14:paraId="5E60F555">
            <w:pPr>
              <w:ind w:left="-53" w:leftChars="-25" w:right="-53" w:rightChars="-25"/>
              <w:jc w:val="center"/>
              <w:rPr>
                <w:rFonts w:eastAsia="宋体" w:cs="Times New Roman"/>
                <w:szCs w:val="21"/>
              </w:rPr>
            </w:pPr>
            <w:r>
              <w:rPr>
                <w:rFonts w:eastAsia="宋体" w:cs="Times New Roman"/>
                <w:bCs/>
                <w:szCs w:val="21"/>
              </w:rPr>
              <w:t>约束性</w:t>
            </w:r>
          </w:p>
        </w:tc>
      </w:tr>
      <w:tr w14:paraId="13AEFD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4" w:type="pct"/>
            <w:vMerge w:val="continue"/>
            <w:vAlign w:val="center"/>
          </w:tcPr>
          <w:p w14:paraId="39B93F84">
            <w:pPr>
              <w:ind w:left="-53" w:leftChars="-25" w:right="-53" w:rightChars="-25"/>
              <w:jc w:val="center"/>
              <w:rPr>
                <w:rFonts w:eastAsia="宋体" w:cs="Times New Roman"/>
                <w:szCs w:val="21"/>
              </w:rPr>
            </w:pPr>
          </w:p>
        </w:tc>
        <w:tc>
          <w:tcPr>
            <w:tcW w:w="260" w:type="pct"/>
            <w:vMerge w:val="restart"/>
            <w:vAlign w:val="center"/>
          </w:tcPr>
          <w:p w14:paraId="12C68458">
            <w:pPr>
              <w:ind w:left="-53" w:leftChars="-25" w:right="-53" w:rightChars="-25"/>
              <w:rPr>
                <w:rFonts w:eastAsia="宋体" w:cs="Times New Roman"/>
                <w:szCs w:val="21"/>
              </w:rPr>
            </w:pPr>
            <w:r>
              <w:rPr>
                <w:rFonts w:eastAsia="宋体" w:cs="Times New Roman"/>
                <w:bCs/>
                <w:szCs w:val="21"/>
              </w:rPr>
              <w:t>（四）生态环境风险防范</w:t>
            </w:r>
          </w:p>
        </w:tc>
        <w:tc>
          <w:tcPr>
            <w:tcW w:w="162" w:type="pct"/>
            <w:vAlign w:val="center"/>
          </w:tcPr>
          <w:p w14:paraId="64CFF231">
            <w:pPr>
              <w:ind w:left="-53" w:leftChars="-25" w:right="-53" w:rightChars="-25"/>
              <w:jc w:val="center"/>
              <w:rPr>
                <w:rFonts w:eastAsia="宋体" w:cs="Times New Roman"/>
                <w:szCs w:val="21"/>
              </w:rPr>
            </w:pPr>
            <w:r>
              <w:rPr>
                <w:rFonts w:eastAsia="宋体" w:cs="Times New Roman"/>
                <w:szCs w:val="21"/>
              </w:rPr>
              <w:t>18</w:t>
            </w:r>
          </w:p>
        </w:tc>
        <w:tc>
          <w:tcPr>
            <w:tcW w:w="1001" w:type="pct"/>
            <w:vAlign w:val="center"/>
          </w:tcPr>
          <w:p w14:paraId="188B33EB">
            <w:pPr>
              <w:ind w:left="-53" w:leftChars="-25" w:right="-53" w:rightChars="-25"/>
              <w:rPr>
                <w:rFonts w:eastAsia="宋体" w:cs="Times New Roman"/>
                <w:szCs w:val="21"/>
              </w:rPr>
            </w:pPr>
            <w:r>
              <w:rPr>
                <w:rFonts w:eastAsia="宋体" w:cs="Times New Roman"/>
                <w:bCs/>
                <w:szCs w:val="21"/>
              </w:rPr>
              <w:t>危险废物安全处置和转移率</w:t>
            </w:r>
          </w:p>
        </w:tc>
        <w:tc>
          <w:tcPr>
            <w:tcW w:w="222" w:type="pct"/>
            <w:vAlign w:val="center"/>
          </w:tcPr>
          <w:p w14:paraId="2F538A5A">
            <w:pPr>
              <w:ind w:left="-53" w:leftChars="-25" w:right="-53" w:rightChars="-25"/>
              <w:jc w:val="center"/>
              <w:rPr>
                <w:rFonts w:eastAsia="宋体" w:cs="Times New Roman"/>
                <w:szCs w:val="21"/>
              </w:rPr>
            </w:pPr>
            <w:r>
              <w:rPr>
                <w:rFonts w:eastAsia="宋体" w:cs="Times New Roman"/>
                <w:bCs/>
                <w:szCs w:val="21"/>
              </w:rPr>
              <w:t>%</w:t>
            </w:r>
          </w:p>
        </w:tc>
        <w:tc>
          <w:tcPr>
            <w:tcW w:w="433" w:type="pct"/>
            <w:vAlign w:val="center"/>
          </w:tcPr>
          <w:p w14:paraId="32EF5937">
            <w:pPr>
              <w:ind w:left="-53" w:leftChars="-25" w:right="-53" w:rightChars="-25"/>
              <w:jc w:val="center"/>
              <w:rPr>
                <w:rFonts w:eastAsia="宋体" w:cs="Times New Roman"/>
                <w:szCs w:val="21"/>
              </w:rPr>
            </w:pPr>
            <w:r>
              <w:rPr>
                <w:rFonts w:eastAsia="宋体" w:cs="Times New Roman"/>
                <w:bCs/>
                <w:szCs w:val="21"/>
              </w:rPr>
              <w:t>100</w:t>
            </w:r>
          </w:p>
        </w:tc>
        <w:tc>
          <w:tcPr>
            <w:tcW w:w="473" w:type="pct"/>
            <w:vAlign w:val="center"/>
          </w:tcPr>
          <w:p w14:paraId="233E6780">
            <w:pPr>
              <w:ind w:left="-53" w:leftChars="-25" w:right="-53" w:rightChars="-25"/>
              <w:jc w:val="center"/>
              <w:rPr>
                <w:rFonts w:eastAsia="宋体" w:cs="Times New Roman"/>
                <w:szCs w:val="21"/>
              </w:rPr>
            </w:pPr>
            <w:r>
              <w:rPr>
                <w:rFonts w:eastAsia="宋体" w:cs="Times New Roman"/>
                <w:bCs/>
                <w:szCs w:val="21"/>
              </w:rPr>
              <w:t>100</w:t>
            </w:r>
          </w:p>
        </w:tc>
        <w:tc>
          <w:tcPr>
            <w:tcW w:w="564" w:type="pct"/>
            <w:vAlign w:val="center"/>
          </w:tcPr>
          <w:p w14:paraId="2C156F25">
            <w:pPr>
              <w:ind w:left="-53" w:leftChars="-25" w:right="-53" w:rightChars="-25"/>
              <w:jc w:val="center"/>
              <w:rPr>
                <w:rFonts w:eastAsia="宋体" w:cs="Times New Roman"/>
                <w:szCs w:val="21"/>
              </w:rPr>
            </w:pPr>
            <w:r>
              <w:rPr>
                <w:rFonts w:eastAsia="宋体" w:cs="Times New Roman"/>
                <w:bCs/>
                <w:szCs w:val="21"/>
              </w:rPr>
              <w:t>已完成</w:t>
            </w:r>
          </w:p>
        </w:tc>
        <w:tc>
          <w:tcPr>
            <w:tcW w:w="483" w:type="pct"/>
            <w:vAlign w:val="center"/>
          </w:tcPr>
          <w:p w14:paraId="4D55A985">
            <w:pPr>
              <w:ind w:left="-53" w:leftChars="-25" w:right="-53" w:rightChars="-25"/>
              <w:jc w:val="center"/>
              <w:rPr>
                <w:rFonts w:eastAsia="宋体" w:cs="Times New Roman"/>
                <w:bCs/>
                <w:szCs w:val="21"/>
              </w:rPr>
            </w:pPr>
            <w:r>
              <w:rPr>
                <w:rFonts w:eastAsia="宋体" w:cs="Times New Roman"/>
                <w:bCs/>
                <w:szCs w:val="21"/>
              </w:rPr>
              <w:t>100</w:t>
            </w:r>
          </w:p>
        </w:tc>
        <w:tc>
          <w:tcPr>
            <w:tcW w:w="479" w:type="pct"/>
            <w:vAlign w:val="center"/>
          </w:tcPr>
          <w:p w14:paraId="6A552D4E">
            <w:pPr>
              <w:ind w:left="-53" w:leftChars="-25" w:right="-53" w:rightChars="-25"/>
              <w:jc w:val="center"/>
              <w:rPr>
                <w:rFonts w:eastAsia="宋体" w:cs="Times New Roman"/>
                <w:bCs/>
                <w:szCs w:val="21"/>
              </w:rPr>
            </w:pPr>
            <w:r>
              <w:rPr>
                <w:rFonts w:eastAsia="宋体" w:cs="Times New Roman"/>
                <w:bCs/>
                <w:szCs w:val="21"/>
              </w:rPr>
              <w:t>100</w:t>
            </w:r>
          </w:p>
        </w:tc>
        <w:tc>
          <w:tcPr>
            <w:tcW w:w="465" w:type="pct"/>
            <w:vAlign w:val="center"/>
          </w:tcPr>
          <w:p w14:paraId="60B7E8F1">
            <w:pPr>
              <w:ind w:left="-53" w:leftChars="-25" w:right="-53" w:rightChars="-25"/>
              <w:jc w:val="center"/>
              <w:rPr>
                <w:rFonts w:eastAsia="宋体" w:cs="Times New Roman"/>
                <w:bCs/>
                <w:szCs w:val="21"/>
              </w:rPr>
            </w:pPr>
            <w:r>
              <w:rPr>
                <w:rFonts w:eastAsia="宋体" w:cs="Times New Roman"/>
                <w:bCs/>
                <w:szCs w:val="21"/>
              </w:rPr>
              <w:t>100</w:t>
            </w:r>
          </w:p>
        </w:tc>
        <w:tc>
          <w:tcPr>
            <w:tcW w:w="299" w:type="pct"/>
            <w:vAlign w:val="center"/>
          </w:tcPr>
          <w:p w14:paraId="0A705D11">
            <w:pPr>
              <w:ind w:left="-53" w:leftChars="-25" w:right="-53" w:rightChars="-25"/>
              <w:jc w:val="center"/>
              <w:rPr>
                <w:rFonts w:eastAsia="宋体" w:cs="Times New Roman"/>
                <w:szCs w:val="21"/>
              </w:rPr>
            </w:pPr>
            <w:r>
              <w:rPr>
                <w:rFonts w:eastAsia="宋体" w:cs="Times New Roman"/>
                <w:bCs/>
                <w:szCs w:val="21"/>
              </w:rPr>
              <w:t>约束性</w:t>
            </w:r>
          </w:p>
        </w:tc>
      </w:tr>
      <w:tr w14:paraId="6FD3B2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4" w:type="pct"/>
            <w:vMerge w:val="continue"/>
            <w:vAlign w:val="center"/>
          </w:tcPr>
          <w:p w14:paraId="3B4AF318">
            <w:pPr>
              <w:ind w:left="-53" w:leftChars="-25" w:right="-53" w:rightChars="-25"/>
              <w:jc w:val="center"/>
              <w:rPr>
                <w:rFonts w:eastAsia="宋体" w:cs="Times New Roman"/>
                <w:szCs w:val="21"/>
              </w:rPr>
            </w:pPr>
          </w:p>
        </w:tc>
        <w:tc>
          <w:tcPr>
            <w:tcW w:w="260" w:type="pct"/>
            <w:vMerge w:val="continue"/>
            <w:vAlign w:val="center"/>
          </w:tcPr>
          <w:p w14:paraId="455CA8D9">
            <w:pPr>
              <w:ind w:left="-53" w:leftChars="-25" w:right="-53" w:rightChars="-25"/>
              <w:rPr>
                <w:rFonts w:eastAsia="宋体" w:cs="Times New Roman"/>
                <w:szCs w:val="21"/>
              </w:rPr>
            </w:pPr>
          </w:p>
        </w:tc>
        <w:tc>
          <w:tcPr>
            <w:tcW w:w="162" w:type="pct"/>
            <w:vAlign w:val="center"/>
          </w:tcPr>
          <w:p w14:paraId="0EC67177">
            <w:pPr>
              <w:ind w:left="-53" w:leftChars="-25" w:right="-53" w:rightChars="-25"/>
              <w:jc w:val="center"/>
              <w:rPr>
                <w:rFonts w:eastAsia="宋体" w:cs="Times New Roman"/>
                <w:szCs w:val="21"/>
              </w:rPr>
            </w:pPr>
            <w:r>
              <w:rPr>
                <w:rFonts w:eastAsia="宋体" w:cs="Times New Roman"/>
                <w:szCs w:val="21"/>
              </w:rPr>
              <w:t>19</w:t>
            </w:r>
          </w:p>
        </w:tc>
        <w:tc>
          <w:tcPr>
            <w:tcW w:w="1001" w:type="pct"/>
            <w:vAlign w:val="center"/>
          </w:tcPr>
          <w:p w14:paraId="6DFB9388">
            <w:pPr>
              <w:ind w:left="-53" w:leftChars="-25" w:right="-53" w:rightChars="-25"/>
              <w:rPr>
                <w:rFonts w:eastAsia="宋体" w:cs="Times New Roman"/>
                <w:szCs w:val="21"/>
              </w:rPr>
            </w:pPr>
            <w:r>
              <w:rPr>
                <w:rFonts w:eastAsia="宋体" w:cs="Times New Roman"/>
                <w:bCs/>
                <w:szCs w:val="21"/>
              </w:rPr>
              <w:t>建设用地土壤污染风险管控和修复名录制度</w:t>
            </w:r>
          </w:p>
        </w:tc>
        <w:tc>
          <w:tcPr>
            <w:tcW w:w="222" w:type="pct"/>
            <w:vAlign w:val="center"/>
          </w:tcPr>
          <w:p w14:paraId="6757B62D">
            <w:pPr>
              <w:ind w:left="-53" w:leftChars="-25" w:right="-53" w:rightChars="-25"/>
              <w:jc w:val="center"/>
              <w:rPr>
                <w:rFonts w:eastAsia="宋体" w:cs="Times New Roman"/>
                <w:szCs w:val="21"/>
              </w:rPr>
            </w:pPr>
            <w:r>
              <w:rPr>
                <w:rFonts w:eastAsia="宋体" w:cs="Times New Roman"/>
                <w:szCs w:val="21"/>
              </w:rPr>
              <w:t>-</w:t>
            </w:r>
          </w:p>
        </w:tc>
        <w:tc>
          <w:tcPr>
            <w:tcW w:w="433" w:type="pct"/>
            <w:vAlign w:val="center"/>
          </w:tcPr>
          <w:p w14:paraId="2AF4BA3C">
            <w:pPr>
              <w:ind w:left="-53" w:leftChars="-25" w:right="-53" w:rightChars="-25"/>
              <w:jc w:val="center"/>
              <w:rPr>
                <w:rFonts w:eastAsia="宋体" w:cs="Times New Roman"/>
                <w:szCs w:val="21"/>
              </w:rPr>
            </w:pPr>
            <w:r>
              <w:rPr>
                <w:rFonts w:eastAsia="宋体" w:cs="Times New Roman"/>
                <w:bCs/>
                <w:szCs w:val="21"/>
              </w:rPr>
              <w:t>建立</w:t>
            </w:r>
          </w:p>
        </w:tc>
        <w:tc>
          <w:tcPr>
            <w:tcW w:w="473" w:type="pct"/>
            <w:vAlign w:val="center"/>
          </w:tcPr>
          <w:p w14:paraId="09995A21">
            <w:pPr>
              <w:ind w:left="-53" w:leftChars="-25" w:right="-53" w:rightChars="-25"/>
              <w:jc w:val="center"/>
              <w:rPr>
                <w:rFonts w:eastAsia="宋体" w:cs="Times New Roman"/>
                <w:szCs w:val="21"/>
              </w:rPr>
            </w:pPr>
            <w:r>
              <w:rPr>
                <w:rFonts w:eastAsia="宋体" w:cs="Times New Roman"/>
                <w:bCs/>
                <w:szCs w:val="21"/>
              </w:rPr>
              <w:t>建立</w:t>
            </w:r>
          </w:p>
        </w:tc>
        <w:tc>
          <w:tcPr>
            <w:tcW w:w="564" w:type="pct"/>
            <w:vAlign w:val="center"/>
          </w:tcPr>
          <w:p w14:paraId="5B235EA8">
            <w:pPr>
              <w:ind w:left="-53" w:leftChars="-25" w:right="-53" w:rightChars="-25"/>
              <w:jc w:val="center"/>
              <w:rPr>
                <w:rFonts w:eastAsia="宋体" w:cs="Times New Roman"/>
                <w:szCs w:val="21"/>
              </w:rPr>
            </w:pPr>
            <w:r>
              <w:rPr>
                <w:rFonts w:eastAsia="宋体" w:cs="Times New Roman"/>
                <w:bCs/>
                <w:szCs w:val="21"/>
              </w:rPr>
              <w:t>已完成</w:t>
            </w:r>
          </w:p>
        </w:tc>
        <w:tc>
          <w:tcPr>
            <w:tcW w:w="483" w:type="pct"/>
            <w:vAlign w:val="center"/>
          </w:tcPr>
          <w:p w14:paraId="76F3357C">
            <w:pPr>
              <w:ind w:left="-53" w:leftChars="-25" w:right="-53" w:rightChars="-25"/>
              <w:jc w:val="center"/>
              <w:rPr>
                <w:rFonts w:eastAsia="宋体" w:cs="Times New Roman"/>
                <w:bCs/>
                <w:szCs w:val="21"/>
              </w:rPr>
            </w:pPr>
            <w:r>
              <w:rPr>
                <w:rFonts w:eastAsia="宋体" w:cs="Times New Roman"/>
                <w:bCs/>
                <w:szCs w:val="21"/>
              </w:rPr>
              <w:t>建立</w:t>
            </w:r>
          </w:p>
        </w:tc>
        <w:tc>
          <w:tcPr>
            <w:tcW w:w="479" w:type="pct"/>
            <w:vAlign w:val="center"/>
          </w:tcPr>
          <w:p w14:paraId="6B57C9CF">
            <w:pPr>
              <w:ind w:left="-53" w:leftChars="-25" w:right="-53" w:rightChars="-25"/>
              <w:jc w:val="center"/>
              <w:rPr>
                <w:rFonts w:eastAsia="宋体" w:cs="Times New Roman"/>
                <w:bCs/>
                <w:szCs w:val="21"/>
              </w:rPr>
            </w:pPr>
            <w:r>
              <w:rPr>
                <w:rFonts w:eastAsia="宋体" w:cs="Times New Roman"/>
                <w:bCs/>
                <w:szCs w:val="21"/>
              </w:rPr>
              <w:t>建立</w:t>
            </w:r>
          </w:p>
        </w:tc>
        <w:tc>
          <w:tcPr>
            <w:tcW w:w="465" w:type="pct"/>
            <w:vAlign w:val="center"/>
          </w:tcPr>
          <w:p w14:paraId="21E5FC78">
            <w:pPr>
              <w:ind w:left="-53" w:leftChars="-25" w:right="-53" w:rightChars="-25"/>
              <w:jc w:val="center"/>
              <w:rPr>
                <w:rFonts w:eastAsia="宋体" w:cs="Times New Roman"/>
                <w:bCs/>
                <w:szCs w:val="21"/>
              </w:rPr>
            </w:pPr>
            <w:r>
              <w:rPr>
                <w:rFonts w:eastAsia="宋体" w:cs="Times New Roman"/>
                <w:bCs/>
                <w:szCs w:val="21"/>
              </w:rPr>
              <w:t>建立</w:t>
            </w:r>
          </w:p>
        </w:tc>
        <w:tc>
          <w:tcPr>
            <w:tcW w:w="299" w:type="pct"/>
            <w:vAlign w:val="center"/>
          </w:tcPr>
          <w:p w14:paraId="0F133B39">
            <w:pPr>
              <w:ind w:left="-53" w:leftChars="-25" w:right="-53" w:rightChars="-25"/>
              <w:jc w:val="center"/>
              <w:rPr>
                <w:rFonts w:eastAsia="宋体" w:cs="Times New Roman"/>
                <w:szCs w:val="21"/>
              </w:rPr>
            </w:pPr>
            <w:r>
              <w:rPr>
                <w:rFonts w:eastAsia="宋体" w:cs="Times New Roman"/>
                <w:bCs/>
                <w:szCs w:val="21"/>
              </w:rPr>
              <w:t>参考性</w:t>
            </w:r>
          </w:p>
        </w:tc>
      </w:tr>
      <w:tr w14:paraId="35C9DE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4" w:type="pct"/>
            <w:vMerge w:val="continue"/>
            <w:vAlign w:val="center"/>
          </w:tcPr>
          <w:p w14:paraId="27850BCA">
            <w:pPr>
              <w:ind w:left="-53" w:leftChars="-25" w:right="-53" w:rightChars="-25"/>
              <w:jc w:val="center"/>
              <w:rPr>
                <w:rFonts w:eastAsia="宋体" w:cs="Times New Roman"/>
                <w:szCs w:val="21"/>
              </w:rPr>
            </w:pPr>
          </w:p>
        </w:tc>
        <w:tc>
          <w:tcPr>
            <w:tcW w:w="260" w:type="pct"/>
            <w:vMerge w:val="continue"/>
            <w:vAlign w:val="center"/>
          </w:tcPr>
          <w:p w14:paraId="3622136F">
            <w:pPr>
              <w:ind w:left="-53" w:leftChars="-25" w:right="-53" w:rightChars="-25"/>
              <w:rPr>
                <w:rFonts w:eastAsia="宋体" w:cs="Times New Roman"/>
                <w:szCs w:val="21"/>
              </w:rPr>
            </w:pPr>
          </w:p>
        </w:tc>
        <w:tc>
          <w:tcPr>
            <w:tcW w:w="162" w:type="pct"/>
            <w:vAlign w:val="center"/>
          </w:tcPr>
          <w:p w14:paraId="54505500">
            <w:pPr>
              <w:ind w:left="-53" w:leftChars="-25" w:right="-53" w:rightChars="-25"/>
              <w:jc w:val="center"/>
              <w:rPr>
                <w:rFonts w:eastAsia="宋体" w:cs="Times New Roman"/>
                <w:szCs w:val="21"/>
              </w:rPr>
            </w:pPr>
            <w:r>
              <w:rPr>
                <w:rFonts w:eastAsia="宋体" w:cs="Times New Roman"/>
                <w:szCs w:val="21"/>
              </w:rPr>
              <w:t>20</w:t>
            </w:r>
          </w:p>
        </w:tc>
        <w:tc>
          <w:tcPr>
            <w:tcW w:w="1001" w:type="pct"/>
            <w:vAlign w:val="center"/>
          </w:tcPr>
          <w:p w14:paraId="28D9CC60">
            <w:pPr>
              <w:ind w:left="-53" w:leftChars="-25" w:right="-53" w:rightChars="-25"/>
              <w:rPr>
                <w:rFonts w:eastAsia="宋体" w:cs="Times New Roman"/>
                <w:szCs w:val="21"/>
              </w:rPr>
            </w:pPr>
            <w:r>
              <w:rPr>
                <w:rFonts w:eastAsia="宋体" w:cs="Times New Roman"/>
                <w:bCs/>
                <w:szCs w:val="21"/>
              </w:rPr>
              <w:t>突发生态环境事件应急管理机制</w:t>
            </w:r>
          </w:p>
        </w:tc>
        <w:tc>
          <w:tcPr>
            <w:tcW w:w="222" w:type="pct"/>
            <w:vAlign w:val="center"/>
          </w:tcPr>
          <w:p w14:paraId="46823D84">
            <w:pPr>
              <w:ind w:left="-53" w:leftChars="-25" w:right="-53" w:rightChars="-25"/>
              <w:jc w:val="center"/>
              <w:rPr>
                <w:rFonts w:eastAsia="宋体" w:cs="Times New Roman"/>
                <w:szCs w:val="21"/>
              </w:rPr>
            </w:pPr>
            <w:r>
              <w:rPr>
                <w:rFonts w:eastAsia="宋体" w:cs="Times New Roman"/>
                <w:szCs w:val="21"/>
              </w:rPr>
              <w:t>-</w:t>
            </w:r>
          </w:p>
        </w:tc>
        <w:tc>
          <w:tcPr>
            <w:tcW w:w="433" w:type="pct"/>
            <w:vAlign w:val="center"/>
          </w:tcPr>
          <w:p w14:paraId="0D7EC51A">
            <w:pPr>
              <w:ind w:left="-53" w:leftChars="-25" w:right="-53" w:rightChars="-25"/>
              <w:jc w:val="center"/>
              <w:rPr>
                <w:rFonts w:eastAsia="宋体" w:cs="Times New Roman"/>
                <w:szCs w:val="21"/>
              </w:rPr>
            </w:pPr>
            <w:r>
              <w:rPr>
                <w:rFonts w:eastAsia="宋体" w:cs="Times New Roman"/>
                <w:bCs/>
                <w:szCs w:val="21"/>
              </w:rPr>
              <w:t>建立</w:t>
            </w:r>
          </w:p>
        </w:tc>
        <w:tc>
          <w:tcPr>
            <w:tcW w:w="473" w:type="pct"/>
            <w:vAlign w:val="center"/>
          </w:tcPr>
          <w:p w14:paraId="535C293F">
            <w:pPr>
              <w:ind w:left="-53" w:leftChars="-25" w:right="-53" w:rightChars="-25"/>
              <w:jc w:val="center"/>
              <w:rPr>
                <w:rFonts w:eastAsia="宋体" w:cs="Times New Roman"/>
                <w:szCs w:val="21"/>
              </w:rPr>
            </w:pPr>
            <w:r>
              <w:rPr>
                <w:rFonts w:eastAsia="宋体" w:cs="Times New Roman"/>
                <w:bCs/>
                <w:szCs w:val="21"/>
              </w:rPr>
              <w:t>建立</w:t>
            </w:r>
          </w:p>
        </w:tc>
        <w:tc>
          <w:tcPr>
            <w:tcW w:w="564" w:type="pct"/>
            <w:vAlign w:val="center"/>
          </w:tcPr>
          <w:p w14:paraId="11A73593">
            <w:pPr>
              <w:ind w:left="-53" w:leftChars="-25" w:right="-53" w:rightChars="-25"/>
              <w:jc w:val="center"/>
              <w:rPr>
                <w:rFonts w:eastAsia="宋体" w:cs="Times New Roman"/>
                <w:szCs w:val="21"/>
              </w:rPr>
            </w:pPr>
            <w:r>
              <w:rPr>
                <w:rFonts w:eastAsia="宋体" w:cs="Times New Roman"/>
                <w:bCs/>
                <w:szCs w:val="21"/>
              </w:rPr>
              <w:t>已完成</w:t>
            </w:r>
          </w:p>
        </w:tc>
        <w:tc>
          <w:tcPr>
            <w:tcW w:w="483" w:type="pct"/>
            <w:vAlign w:val="center"/>
          </w:tcPr>
          <w:p w14:paraId="56BEFA27">
            <w:pPr>
              <w:ind w:left="-53" w:leftChars="-25" w:right="-53" w:rightChars="-25"/>
              <w:jc w:val="center"/>
              <w:rPr>
                <w:rFonts w:eastAsia="宋体" w:cs="Times New Roman"/>
                <w:bCs/>
                <w:szCs w:val="21"/>
              </w:rPr>
            </w:pPr>
            <w:r>
              <w:rPr>
                <w:rFonts w:eastAsia="宋体" w:cs="Times New Roman"/>
                <w:bCs/>
                <w:szCs w:val="21"/>
              </w:rPr>
              <w:t>建立</w:t>
            </w:r>
          </w:p>
        </w:tc>
        <w:tc>
          <w:tcPr>
            <w:tcW w:w="479" w:type="pct"/>
            <w:vAlign w:val="center"/>
          </w:tcPr>
          <w:p w14:paraId="778F9B62">
            <w:pPr>
              <w:ind w:left="-53" w:leftChars="-25" w:right="-53" w:rightChars="-25"/>
              <w:jc w:val="center"/>
              <w:rPr>
                <w:rFonts w:eastAsia="宋体" w:cs="Times New Roman"/>
                <w:bCs/>
                <w:szCs w:val="21"/>
              </w:rPr>
            </w:pPr>
            <w:r>
              <w:rPr>
                <w:rFonts w:eastAsia="宋体" w:cs="Times New Roman"/>
                <w:bCs/>
                <w:szCs w:val="21"/>
              </w:rPr>
              <w:t>建立</w:t>
            </w:r>
          </w:p>
        </w:tc>
        <w:tc>
          <w:tcPr>
            <w:tcW w:w="465" w:type="pct"/>
            <w:vAlign w:val="center"/>
          </w:tcPr>
          <w:p w14:paraId="5B48EA0C">
            <w:pPr>
              <w:ind w:left="-53" w:leftChars="-25" w:right="-53" w:rightChars="-25"/>
              <w:jc w:val="center"/>
              <w:rPr>
                <w:rFonts w:eastAsia="宋体" w:cs="Times New Roman"/>
                <w:bCs/>
                <w:szCs w:val="21"/>
              </w:rPr>
            </w:pPr>
            <w:r>
              <w:rPr>
                <w:rFonts w:eastAsia="宋体" w:cs="Times New Roman"/>
                <w:bCs/>
                <w:szCs w:val="21"/>
              </w:rPr>
              <w:t>建立</w:t>
            </w:r>
          </w:p>
        </w:tc>
        <w:tc>
          <w:tcPr>
            <w:tcW w:w="299" w:type="pct"/>
            <w:vAlign w:val="center"/>
          </w:tcPr>
          <w:p w14:paraId="1747BA7C">
            <w:pPr>
              <w:ind w:left="-53" w:leftChars="-25" w:right="-53" w:rightChars="-25"/>
              <w:jc w:val="center"/>
              <w:rPr>
                <w:rFonts w:eastAsia="宋体" w:cs="Times New Roman"/>
                <w:szCs w:val="21"/>
              </w:rPr>
            </w:pPr>
            <w:r>
              <w:rPr>
                <w:rFonts w:eastAsia="宋体" w:cs="Times New Roman"/>
                <w:bCs/>
                <w:szCs w:val="21"/>
              </w:rPr>
              <w:t>约束性</w:t>
            </w:r>
          </w:p>
        </w:tc>
      </w:tr>
      <w:tr w14:paraId="23B2C6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 w:hRule="atLeast"/>
        </w:trPr>
        <w:tc>
          <w:tcPr>
            <w:tcW w:w="154" w:type="pct"/>
            <w:vMerge w:val="continue"/>
            <w:vAlign w:val="center"/>
          </w:tcPr>
          <w:p w14:paraId="1C6F313E">
            <w:pPr>
              <w:ind w:left="-53" w:leftChars="-25" w:right="-53" w:rightChars="-25"/>
              <w:jc w:val="center"/>
              <w:rPr>
                <w:rFonts w:eastAsia="宋体" w:cs="Times New Roman"/>
                <w:szCs w:val="21"/>
              </w:rPr>
            </w:pPr>
          </w:p>
        </w:tc>
        <w:tc>
          <w:tcPr>
            <w:tcW w:w="260" w:type="pct"/>
            <w:vMerge w:val="continue"/>
            <w:vAlign w:val="center"/>
          </w:tcPr>
          <w:p w14:paraId="70C0CE12">
            <w:pPr>
              <w:ind w:left="-53" w:leftChars="-25" w:right="-53" w:rightChars="-25"/>
              <w:rPr>
                <w:rFonts w:eastAsia="宋体" w:cs="Times New Roman"/>
                <w:szCs w:val="21"/>
              </w:rPr>
            </w:pPr>
          </w:p>
        </w:tc>
        <w:tc>
          <w:tcPr>
            <w:tcW w:w="162" w:type="pct"/>
            <w:vAlign w:val="center"/>
          </w:tcPr>
          <w:p w14:paraId="2FAE6B5F">
            <w:pPr>
              <w:ind w:left="-53" w:leftChars="-25" w:right="-53" w:rightChars="-25"/>
              <w:jc w:val="center"/>
              <w:rPr>
                <w:rFonts w:eastAsia="宋体" w:cs="Times New Roman"/>
                <w:szCs w:val="21"/>
              </w:rPr>
            </w:pPr>
            <w:r>
              <w:rPr>
                <w:rFonts w:eastAsia="宋体" w:cs="Times New Roman"/>
                <w:szCs w:val="21"/>
              </w:rPr>
              <w:t>21</w:t>
            </w:r>
          </w:p>
        </w:tc>
        <w:tc>
          <w:tcPr>
            <w:tcW w:w="1001" w:type="pct"/>
            <w:vAlign w:val="center"/>
          </w:tcPr>
          <w:p w14:paraId="5159E577">
            <w:pPr>
              <w:ind w:left="-53" w:leftChars="-25" w:right="-53" w:rightChars="-25"/>
              <w:rPr>
                <w:rFonts w:eastAsia="宋体" w:cs="Times New Roman"/>
                <w:bCs/>
                <w:szCs w:val="21"/>
              </w:rPr>
            </w:pPr>
            <w:r>
              <w:rPr>
                <w:rFonts w:eastAsia="宋体" w:cs="Times New Roman"/>
                <w:bCs/>
                <w:szCs w:val="21"/>
              </w:rPr>
              <w:t>耕地分类管理</w:t>
            </w:r>
          </w:p>
        </w:tc>
        <w:tc>
          <w:tcPr>
            <w:tcW w:w="222" w:type="pct"/>
            <w:vAlign w:val="center"/>
          </w:tcPr>
          <w:p w14:paraId="00C4EACA">
            <w:pPr>
              <w:ind w:left="-53" w:leftChars="-25" w:right="-53" w:rightChars="-25"/>
              <w:jc w:val="center"/>
              <w:rPr>
                <w:rFonts w:eastAsia="宋体" w:cs="Times New Roman"/>
                <w:szCs w:val="21"/>
              </w:rPr>
            </w:pPr>
            <w:r>
              <w:rPr>
                <w:rFonts w:eastAsia="宋体" w:cs="Times New Roman"/>
                <w:bCs/>
                <w:szCs w:val="21"/>
              </w:rPr>
              <w:t>-</w:t>
            </w:r>
          </w:p>
        </w:tc>
        <w:tc>
          <w:tcPr>
            <w:tcW w:w="433" w:type="pct"/>
            <w:vAlign w:val="center"/>
          </w:tcPr>
          <w:p w14:paraId="1D6FF1B8">
            <w:pPr>
              <w:ind w:left="-53" w:leftChars="-25" w:right="-53" w:rightChars="-25"/>
              <w:jc w:val="center"/>
              <w:rPr>
                <w:rFonts w:eastAsia="宋体" w:cs="Times New Roman"/>
                <w:bCs/>
                <w:szCs w:val="21"/>
              </w:rPr>
            </w:pPr>
            <w:r>
              <w:rPr>
                <w:rFonts w:eastAsia="宋体" w:cs="Times New Roman"/>
                <w:bCs/>
                <w:szCs w:val="21"/>
              </w:rPr>
              <w:t>建立</w:t>
            </w:r>
          </w:p>
        </w:tc>
        <w:tc>
          <w:tcPr>
            <w:tcW w:w="473" w:type="pct"/>
            <w:vAlign w:val="center"/>
          </w:tcPr>
          <w:p w14:paraId="6A98EB5F">
            <w:pPr>
              <w:ind w:left="-53" w:leftChars="-25" w:right="-53" w:rightChars="-25"/>
              <w:jc w:val="center"/>
              <w:rPr>
                <w:rFonts w:eastAsia="宋体" w:cs="Times New Roman"/>
                <w:bCs/>
                <w:szCs w:val="21"/>
              </w:rPr>
            </w:pPr>
            <w:r>
              <w:rPr>
                <w:rFonts w:eastAsia="宋体" w:cs="Times New Roman"/>
                <w:bCs/>
                <w:szCs w:val="21"/>
              </w:rPr>
              <w:t>建立</w:t>
            </w:r>
          </w:p>
        </w:tc>
        <w:tc>
          <w:tcPr>
            <w:tcW w:w="564" w:type="pct"/>
            <w:vAlign w:val="center"/>
          </w:tcPr>
          <w:p w14:paraId="078A8474">
            <w:pPr>
              <w:ind w:left="-53" w:leftChars="-25" w:right="-53" w:rightChars="-25"/>
              <w:jc w:val="center"/>
              <w:rPr>
                <w:rFonts w:eastAsia="宋体" w:cs="Times New Roman"/>
                <w:bCs/>
                <w:szCs w:val="21"/>
              </w:rPr>
            </w:pPr>
            <w:r>
              <w:rPr>
                <w:rFonts w:eastAsia="宋体" w:cs="Times New Roman"/>
                <w:bCs/>
                <w:szCs w:val="21"/>
              </w:rPr>
              <w:t>已完成</w:t>
            </w:r>
          </w:p>
        </w:tc>
        <w:tc>
          <w:tcPr>
            <w:tcW w:w="483" w:type="pct"/>
            <w:vAlign w:val="center"/>
          </w:tcPr>
          <w:p w14:paraId="68080558">
            <w:pPr>
              <w:ind w:left="-53" w:leftChars="-25" w:right="-53" w:rightChars="-25"/>
              <w:jc w:val="center"/>
              <w:rPr>
                <w:rFonts w:eastAsia="宋体" w:cs="Times New Roman"/>
                <w:bCs/>
                <w:szCs w:val="21"/>
              </w:rPr>
            </w:pPr>
            <w:r>
              <w:rPr>
                <w:rFonts w:eastAsia="宋体" w:cs="Times New Roman"/>
                <w:bCs/>
                <w:szCs w:val="21"/>
              </w:rPr>
              <w:t>建立</w:t>
            </w:r>
          </w:p>
        </w:tc>
        <w:tc>
          <w:tcPr>
            <w:tcW w:w="479" w:type="pct"/>
            <w:vAlign w:val="center"/>
          </w:tcPr>
          <w:p w14:paraId="16C1EB72">
            <w:pPr>
              <w:ind w:left="-53" w:leftChars="-25" w:right="-53" w:rightChars="-25"/>
              <w:jc w:val="center"/>
              <w:rPr>
                <w:rFonts w:eastAsia="宋体" w:cs="Times New Roman"/>
                <w:bCs/>
                <w:szCs w:val="21"/>
              </w:rPr>
            </w:pPr>
            <w:r>
              <w:rPr>
                <w:rFonts w:eastAsia="宋体" w:cs="Times New Roman"/>
                <w:bCs/>
                <w:szCs w:val="21"/>
              </w:rPr>
              <w:t>建立</w:t>
            </w:r>
          </w:p>
        </w:tc>
        <w:tc>
          <w:tcPr>
            <w:tcW w:w="465" w:type="pct"/>
            <w:vAlign w:val="center"/>
          </w:tcPr>
          <w:p w14:paraId="28722C2A">
            <w:pPr>
              <w:ind w:left="-53" w:leftChars="-25" w:right="-53" w:rightChars="-25"/>
              <w:jc w:val="center"/>
              <w:rPr>
                <w:rFonts w:eastAsia="宋体" w:cs="Times New Roman"/>
                <w:bCs/>
                <w:szCs w:val="21"/>
              </w:rPr>
            </w:pPr>
            <w:r>
              <w:rPr>
                <w:rFonts w:eastAsia="宋体" w:cs="Times New Roman"/>
                <w:bCs/>
                <w:szCs w:val="21"/>
              </w:rPr>
              <w:t>建立</w:t>
            </w:r>
          </w:p>
        </w:tc>
        <w:tc>
          <w:tcPr>
            <w:tcW w:w="299" w:type="pct"/>
            <w:vAlign w:val="center"/>
          </w:tcPr>
          <w:p w14:paraId="3F150021">
            <w:pPr>
              <w:ind w:left="-53" w:leftChars="-25" w:right="-53" w:rightChars="-25"/>
              <w:jc w:val="center"/>
              <w:rPr>
                <w:rFonts w:eastAsia="宋体" w:cs="Times New Roman"/>
                <w:bCs/>
                <w:szCs w:val="21"/>
              </w:rPr>
            </w:pPr>
            <w:r>
              <w:rPr>
                <w:rFonts w:eastAsia="宋体" w:cs="Times New Roman"/>
                <w:bCs/>
                <w:szCs w:val="21"/>
              </w:rPr>
              <w:t>参考性</w:t>
            </w:r>
          </w:p>
        </w:tc>
      </w:tr>
      <w:tr w14:paraId="52EDCC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4" w:type="pct"/>
            <w:vMerge w:val="restart"/>
            <w:vAlign w:val="center"/>
          </w:tcPr>
          <w:p w14:paraId="1C7BFE9D">
            <w:pPr>
              <w:ind w:left="-53" w:leftChars="-25" w:right="-53" w:rightChars="-25"/>
              <w:jc w:val="center"/>
              <w:rPr>
                <w:rFonts w:eastAsia="宋体" w:cs="Times New Roman"/>
                <w:szCs w:val="21"/>
              </w:rPr>
            </w:pPr>
            <w:r>
              <w:rPr>
                <w:rFonts w:eastAsia="宋体" w:cs="Times New Roman"/>
                <w:bCs/>
                <w:szCs w:val="21"/>
              </w:rPr>
              <w:t>生态空间</w:t>
            </w:r>
          </w:p>
        </w:tc>
        <w:tc>
          <w:tcPr>
            <w:tcW w:w="260" w:type="pct"/>
            <w:vMerge w:val="restart"/>
            <w:vAlign w:val="center"/>
          </w:tcPr>
          <w:p w14:paraId="5BE38FDF">
            <w:pPr>
              <w:ind w:left="-53" w:leftChars="-25" w:right="-53" w:rightChars="-25"/>
              <w:rPr>
                <w:rFonts w:eastAsia="宋体" w:cs="Times New Roman"/>
                <w:szCs w:val="21"/>
              </w:rPr>
            </w:pPr>
            <w:r>
              <w:rPr>
                <w:rFonts w:eastAsia="宋体" w:cs="Times New Roman"/>
                <w:bCs/>
                <w:szCs w:val="21"/>
              </w:rPr>
              <w:t>（五）空间格局优化</w:t>
            </w:r>
          </w:p>
        </w:tc>
        <w:tc>
          <w:tcPr>
            <w:tcW w:w="162" w:type="pct"/>
            <w:vAlign w:val="center"/>
          </w:tcPr>
          <w:p w14:paraId="441338C0">
            <w:pPr>
              <w:ind w:left="-53" w:leftChars="-25" w:right="-53" w:rightChars="-25"/>
              <w:jc w:val="center"/>
              <w:rPr>
                <w:rFonts w:eastAsia="宋体" w:cs="Times New Roman"/>
                <w:szCs w:val="21"/>
              </w:rPr>
            </w:pPr>
            <w:r>
              <w:rPr>
                <w:rFonts w:eastAsia="宋体" w:cs="Times New Roman"/>
                <w:szCs w:val="21"/>
              </w:rPr>
              <w:t>22</w:t>
            </w:r>
          </w:p>
        </w:tc>
        <w:tc>
          <w:tcPr>
            <w:tcW w:w="1001" w:type="pct"/>
            <w:vAlign w:val="center"/>
          </w:tcPr>
          <w:p w14:paraId="3074F651">
            <w:pPr>
              <w:ind w:left="157" w:leftChars="-25" w:right="-53" w:rightChars="-25" w:hanging="210" w:hangingChars="100"/>
              <w:rPr>
                <w:rFonts w:eastAsia="宋体" w:cs="Times New Roman"/>
                <w:bCs/>
                <w:szCs w:val="21"/>
              </w:rPr>
            </w:pPr>
            <w:r>
              <w:rPr>
                <w:rFonts w:eastAsia="宋体" w:cs="Times New Roman"/>
                <w:bCs/>
                <w:szCs w:val="21"/>
              </w:rPr>
              <w:t>自然生态空间</w:t>
            </w:r>
          </w:p>
          <w:p w14:paraId="121A4FBB">
            <w:pPr>
              <w:ind w:left="157" w:leftChars="-25" w:right="-53" w:rightChars="-25" w:hanging="210" w:hangingChars="100"/>
              <w:rPr>
                <w:rFonts w:eastAsia="宋体" w:cs="Times New Roman"/>
                <w:bCs/>
                <w:szCs w:val="21"/>
              </w:rPr>
            </w:pPr>
            <w:r>
              <w:rPr>
                <w:rFonts w:eastAsia="宋体" w:cs="Times New Roman"/>
                <w:bCs/>
                <w:szCs w:val="21"/>
              </w:rPr>
              <w:t>生态保护红线</w:t>
            </w:r>
          </w:p>
          <w:p w14:paraId="1671654B">
            <w:pPr>
              <w:ind w:left="157" w:leftChars="-25" w:right="-53" w:rightChars="-25" w:hanging="210" w:hangingChars="100"/>
              <w:rPr>
                <w:rFonts w:eastAsia="宋体" w:cs="Times New Roman"/>
                <w:szCs w:val="21"/>
              </w:rPr>
            </w:pPr>
            <w:r>
              <w:rPr>
                <w:rFonts w:eastAsia="宋体" w:cs="Times New Roman"/>
                <w:bCs/>
                <w:szCs w:val="21"/>
              </w:rPr>
              <w:t>自然保护地</w:t>
            </w:r>
          </w:p>
        </w:tc>
        <w:tc>
          <w:tcPr>
            <w:tcW w:w="222" w:type="pct"/>
            <w:vAlign w:val="center"/>
          </w:tcPr>
          <w:p w14:paraId="1747B61B">
            <w:pPr>
              <w:ind w:left="-53" w:leftChars="-25" w:right="-53" w:rightChars="-25"/>
              <w:jc w:val="center"/>
              <w:rPr>
                <w:rFonts w:eastAsia="宋体" w:cs="Times New Roman"/>
                <w:szCs w:val="21"/>
              </w:rPr>
            </w:pPr>
            <w:r>
              <w:rPr>
                <w:rFonts w:eastAsia="宋体" w:cs="Times New Roman"/>
                <w:szCs w:val="21"/>
              </w:rPr>
              <w:t>-</w:t>
            </w:r>
          </w:p>
        </w:tc>
        <w:tc>
          <w:tcPr>
            <w:tcW w:w="433" w:type="pct"/>
            <w:vAlign w:val="center"/>
          </w:tcPr>
          <w:p w14:paraId="3521E4B4">
            <w:pPr>
              <w:ind w:left="-53" w:leftChars="-25" w:right="-53" w:rightChars="-25"/>
              <w:jc w:val="center"/>
              <w:rPr>
                <w:rFonts w:eastAsia="宋体" w:cs="Times New Roman"/>
                <w:bCs/>
                <w:szCs w:val="21"/>
              </w:rPr>
            </w:pPr>
            <w:r>
              <w:rPr>
                <w:rFonts w:eastAsia="宋体" w:cs="Times New Roman"/>
                <w:bCs/>
                <w:szCs w:val="21"/>
              </w:rPr>
              <w:t>面积不减少，性质不改变，功能不降低</w:t>
            </w:r>
          </w:p>
        </w:tc>
        <w:tc>
          <w:tcPr>
            <w:tcW w:w="473" w:type="pct"/>
            <w:vAlign w:val="center"/>
          </w:tcPr>
          <w:p w14:paraId="704F9E63">
            <w:pPr>
              <w:ind w:left="-53" w:leftChars="-25" w:right="-53" w:rightChars="-25"/>
              <w:jc w:val="center"/>
              <w:rPr>
                <w:rFonts w:eastAsia="宋体" w:cs="Times New Roman"/>
                <w:bCs/>
                <w:szCs w:val="21"/>
              </w:rPr>
            </w:pPr>
          </w:p>
          <w:p w14:paraId="397C235E">
            <w:pPr>
              <w:ind w:left="-53" w:leftChars="-25" w:right="-53" w:rightChars="-25"/>
              <w:jc w:val="center"/>
              <w:rPr>
                <w:rFonts w:eastAsia="宋体" w:cs="Times New Roman"/>
                <w:bCs/>
                <w:szCs w:val="21"/>
              </w:rPr>
            </w:pPr>
            <w:r>
              <w:rPr>
                <w:rFonts w:eastAsia="宋体" w:cs="Times New Roman"/>
                <w:bCs/>
                <w:szCs w:val="21"/>
              </w:rPr>
              <w:t>1813</w:t>
            </w:r>
            <w:r>
              <w:rPr>
                <w:rFonts w:hint="eastAsia" w:eastAsia="宋体" w:cs="Times New Roman"/>
                <w:bCs/>
                <w:szCs w:val="21"/>
              </w:rPr>
              <w:t>km</w:t>
            </w:r>
            <w:r>
              <w:rPr>
                <w:rFonts w:hint="eastAsia" w:eastAsia="宋体" w:cs="Times New Roman"/>
                <w:bCs/>
                <w:szCs w:val="21"/>
                <w:vertAlign w:val="superscript"/>
              </w:rPr>
              <w:t>2</w:t>
            </w:r>
          </w:p>
          <w:p w14:paraId="6A659A19">
            <w:pPr>
              <w:ind w:left="-53" w:leftChars="-25" w:right="-53" w:rightChars="-25"/>
              <w:jc w:val="center"/>
              <w:rPr>
                <w:rFonts w:eastAsia="宋体" w:cs="Times New Roman"/>
                <w:bCs/>
                <w:szCs w:val="21"/>
              </w:rPr>
            </w:pPr>
            <w:r>
              <w:rPr>
                <w:rFonts w:eastAsia="宋体" w:cs="Times New Roman"/>
                <w:bCs/>
                <w:szCs w:val="21"/>
              </w:rPr>
              <w:t>181.92</w:t>
            </w:r>
            <w:r>
              <w:rPr>
                <w:rFonts w:hint="eastAsia" w:eastAsia="宋体" w:cs="Times New Roman"/>
                <w:bCs/>
                <w:szCs w:val="21"/>
              </w:rPr>
              <w:t>km</w:t>
            </w:r>
            <w:r>
              <w:rPr>
                <w:rFonts w:hint="eastAsia" w:eastAsia="宋体" w:cs="Times New Roman"/>
                <w:bCs/>
                <w:szCs w:val="21"/>
                <w:vertAlign w:val="superscript"/>
              </w:rPr>
              <w:t>2</w:t>
            </w:r>
          </w:p>
        </w:tc>
        <w:tc>
          <w:tcPr>
            <w:tcW w:w="564" w:type="pct"/>
            <w:vAlign w:val="center"/>
          </w:tcPr>
          <w:p w14:paraId="56D59FD3">
            <w:pPr>
              <w:ind w:left="-53" w:leftChars="-25" w:right="-53" w:rightChars="-25"/>
              <w:jc w:val="center"/>
              <w:rPr>
                <w:rFonts w:eastAsia="宋体" w:cs="Times New Roman"/>
                <w:szCs w:val="21"/>
              </w:rPr>
            </w:pPr>
            <w:r>
              <w:rPr>
                <w:rFonts w:eastAsia="宋体" w:cs="Times New Roman"/>
                <w:bCs/>
                <w:szCs w:val="21"/>
              </w:rPr>
              <w:t>已完成</w:t>
            </w:r>
          </w:p>
        </w:tc>
        <w:tc>
          <w:tcPr>
            <w:tcW w:w="483" w:type="pct"/>
            <w:vAlign w:val="center"/>
          </w:tcPr>
          <w:p w14:paraId="5C614D53">
            <w:pPr>
              <w:ind w:left="-53" w:leftChars="-25" w:right="-53" w:rightChars="-25"/>
              <w:jc w:val="center"/>
              <w:rPr>
                <w:rFonts w:eastAsia="宋体" w:cs="Times New Roman"/>
                <w:bCs/>
                <w:szCs w:val="21"/>
              </w:rPr>
            </w:pPr>
            <w:r>
              <w:rPr>
                <w:rFonts w:eastAsia="宋体" w:cs="Times New Roman"/>
                <w:bCs/>
                <w:szCs w:val="21"/>
              </w:rPr>
              <w:t>面积不减少，性质不改变，功能不降低</w:t>
            </w:r>
          </w:p>
        </w:tc>
        <w:tc>
          <w:tcPr>
            <w:tcW w:w="479" w:type="pct"/>
            <w:vAlign w:val="center"/>
          </w:tcPr>
          <w:p w14:paraId="1BE043AB">
            <w:pPr>
              <w:ind w:left="-53" w:leftChars="-25" w:right="-53" w:rightChars="-25"/>
              <w:jc w:val="center"/>
              <w:rPr>
                <w:rFonts w:eastAsia="宋体" w:cs="Times New Roman"/>
                <w:bCs/>
                <w:szCs w:val="21"/>
              </w:rPr>
            </w:pPr>
            <w:r>
              <w:rPr>
                <w:rFonts w:eastAsia="宋体" w:cs="Times New Roman"/>
                <w:bCs/>
                <w:szCs w:val="21"/>
              </w:rPr>
              <w:t>面积不减少，性质不改变，功能不降低</w:t>
            </w:r>
          </w:p>
        </w:tc>
        <w:tc>
          <w:tcPr>
            <w:tcW w:w="465" w:type="pct"/>
            <w:vAlign w:val="center"/>
          </w:tcPr>
          <w:p w14:paraId="0590BAC9">
            <w:pPr>
              <w:ind w:left="-53" w:leftChars="-25" w:right="-53" w:rightChars="-25"/>
              <w:jc w:val="center"/>
              <w:rPr>
                <w:rFonts w:eastAsia="宋体" w:cs="Times New Roman"/>
                <w:bCs/>
                <w:szCs w:val="21"/>
              </w:rPr>
            </w:pPr>
            <w:r>
              <w:rPr>
                <w:rFonts w:eastAsia="宋体" w:cs="Times New Roman"/>
                <w:bCs/>
                <w:szCs w:val="21"/>
              </w:rPr>
              <w:t>面积不减少，性质不改变，功能不降低</w:t>
            </w:r>
          </w:p>
        </w:tc>
        <w:tc>
          <w:tcPr>
            <w:tcW w:w="299" w:type="pct"/>
            <w:vAlign w:val="center"/>
          </w:tcPr>
          <w:p w14:paraId="1C5A6552">
            <w:pPr>
              <w:ind w:left="-53" w:leftChars="-25" w:right="-53" w:rightChars="-25"/>
              <w:jc w:val="center"/>
              <w:rPr>
                <w:rFonts w:eastAsia="宋体" w:cs="Times New Roman"/>
                <w:szCs w:val="21"/>
              </w:rPr>
            </w:pPr>
            <w:r>
              <w:rPr>
                <w:rFonts w:eastAsia="宋体" w:cs="Times New Roman"/>
                <w:bCs/>
                <w:szCs w:val="21"/>
              </w:rPr>
              <w:t>约束性</w:t>
            </w:r>
          </w:p>
        </w:tc>
      </w:tr>
      <w:tr w14:paraId="31E3AA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4" w:type="pct"/>
            <w:vMerge w:val="continue"/>
            <w:vAlign w:val="center"/>
          </w:tcPr>
          <w:p w14:paraId="07C6C464">
            <w:pPr>
              <w:ind w:left="-53" w:leftChars="-25" w:right="-53" w:rightChars="-25"/>
              <w:jc w:val="center"/>
              <w:rPr>
                <w:rFonts w:eastAsia="宋体" w:cs="Times New Roman"/>
                <w:bCs/>
                <w:szCs w:val="21"/>
              </w:rPr>
            </w:pPr>
          </w:p>
        </w:tc>
        <w:tc>
          <w:tcPr>
            <w:tcW w:w="260" w:type="pct"/>
            <w:vMerge w:val="continue"/>
            <w:vAlign w:val="center"/>
          </w:tcPr>
          <w:p w14:paraId="6F68DC4F">
            <w:pPr>
              <w:ind w:left="-53" w:leftChars="-25" w:right="-53" w:rightChars="-25"/>
              <w:rPr>
                <w:rFonts w:eastAsia="宋体" w:cs="Times New Roman"/>
                <w:bCs/>
                <w:szCs w:val="21"/>
              </w:rPr>
            </w:pPr>
          </w:p>
        </w:tc>
        <w:tc>
          <w:tcPr>
            <w:tcW w:w="162" w:type="pct"/>
            <w:vAlign w:val="center"/>
          </w:tcPr>
          <w:p w14:paraId="24D8B471">
            <w:pPr>
              <w:ind w:left="-53" w:leftChars="-25" w:right="-53" w:rightChars="-25"/>
              <w:jc w:val="center"/>
              <w:rPr>
                <w:rFonts w:eastAsia="宋体" w:cs="Times New Roman"/>
                <w:szCs w:val="21"/>
              </w:rPr>
            </w:pPr>
            <w:r>
              <w:rPr>
                <w:rFonts w:eastAsia="宋体" w:cs="Times New Roman"/>
                <w:szCs w:val="21"/>
              </w:rPr>
              <w:t>23</w:t>
            </w:r>
          </w:p>
        </w:tc>
        <w:tc>
          <w:tcPr>
            <w:tcW w:w="1001" w:type="pct"/>
            <w:vAlign w:val="center"/>
          </w:tcPr>
          <w:p w14:paraId="288F22B4">
            <w:pPr>
              <w:ind w:left="-53" w:leftChars="-25" w:right="-53" w:rightChars="-25"/>
              <w:rPr>
                <w:rFonts w:eastAsia="宋体" w:cs="Times New Roman"/>
                <w:bCs/>
                <w:szCs w:val="21"/>
              </w:rPr>
            </w:pPr>
            <w:r>
              <w:rPr>
                <w:rFonts w:eastAsia="宋体" w:cs="Times New Roman"/>
                <w:bCs/>
                <w:szCs w:val="21"/>
              </w:rPr>
              <w:t>河湖岸线保护率</w:t>
            </w:r>
          </w:p>
        </w:tc>
        <w:tc>
          <w:tcPr>
            <w:tcW w:w="222" w:type="pct"/>
            <w:vAlign w:val="center"/>
          </w:tcPr>
          <w:p w14:paraId="16330A17">
            <w:pPr>
              <w:ind w:left="-53" w:leftChars="-25" w:right="-53" w:rightChars="-25"/>
              <w:jc w:val="center"/>
              <w:rPr>
                <w:rFonts w:eastAsia="宋体" w:cs="Times New Roman"/>
                <w:szCs w:val="21"/>
              </w:rPr>
            </w:pPr>
            <w:r>
              <w:rPr>
                <w:rFonts w:eastAsia="宋体" w:cs="Times New Roman"/>
                <w:szCs w:val="21"/>
              </w:rPr>
              <w:t>%</w:t>
            </w:r>
          </w:p>
        </w:tc>
        <w:tc>
          <w:tcPr>
            <w:tcW w:w="433" w:type="pct"/>
            <w:vAlign w:val="center"/>
          </w:tcPr>
          <w:p w14:paraId="3F16DEC2">
            <w:pPr>
              <w:ind w:left="-53" w:leftChars="-25" w:right="-53" w:rightChars="-25"/>
              <w:jc w:val="center"/>
              <w:rPr>
                <w:rFonts w:eastAsia="宋体" w:cs="Times New Roman"/>
                <w:bCs/>
                <w:szCs w:val="21"/>
              </w:rPr>
            </w:pPr>
            <w:r>
              <w:rPr>
                <w:rFonts w:eastAsia="宋体" w:cs="Times New Roman"/>
                <w:bCs/>
                <w:szCs w:val="21"/>
              </w:rPr>
              <w:t>完成上级管控目标</w:t>
            </w:r>
          </w:p>
        </w:tc>
        <w:tc>
          <w:tcPr>
            <w:tcW w:w="473" w:type="pct"/>
            <w:vAlign w:val="center"/>
          </w:tcPr>
          <w:p w14:paraId="6B6CA07A">
            <w:pPr>
              <w:ind w:left="-53" w:leftChars="-25" w:right="-53" w:rightChars="-25"/>
              <w:jc w:val="center"/>
              <w:rPr>
                <w:rFonts w:eastAsia="宋体" w:cs="Times New Roman"/>
                <w:bCs/>
                <w:szCs w:val="21"/>
              </w:rPr>
            </w:pPr>
            <w:r>
              <w:rPr>
                <w:rFonts w:eastAsia="宋体" w:cs="Times New Roman"/>
                <w:bCs/>
                <w:szCs w:val="21"/>
              </w:rPr>
              <w:t>完成上级管控目标</w:t>
            </w:r>
          </w:p>
        </w:tc>
        <w:tc>
          <w:tcPr>
            <w:tcW w:w="564" w:type="pct"/>
            <w:vAlign w:val="center"/>
          </w:tcPr>
          <w:p w14:paraId="415546A8">
            <w:pPr>
              <w:ind w:left="-53" w:leftChars="-25" w:right="-53" w:rightChars="-25"/>
              <w:jc w:val="center"/>
              <w:rPr>
                <w:rFonts w:eastAsia="宋体" w:cs="Times New Roman"/>
                <w:bCs/>
                <w:szCs w:val="21"/>
              </w:rPr>
            </w:pPr>
            <w:r>
              <w:rPr>
                <w:rFonts w:eastAsia="宋体" w:cs="Times New Roman"/>
                <w:bCs/>
                <w:szCs w:val="21"/>
              </w:rPr>
              <w:t>已完成</w:t>
            </w:r>
          </w:p>
        </w:tc>
        <w:tc>
          <w:tcPr>
            <w:tcW w:w="483" w:type="pct"/>
            <w:vAlign w:val="center"/>
          </w:tcPr>
          <w:p w14:paraId="7F8468E1">
            <w:pPr>
              <w:ind w:left="-53" w:leftChars="-25" w:right="-53" w:rightChars="-25"/>
              <w:jc w:val="center"/>
              <w:rPr>
                <w:rFonts w:eastAsia="宋体" w:cs="Times New Roman"/>
                <w:bCs/>
                <w:szCs w:val="21"/>
              </w:rPr>
            </w:pPr>
            <w:r>
              <w:rPr>
                <w:rFonts w:eastAsia="宋体" w:cs="Times New Roman"/>
                <w:bCs/>
                <w:szCs w:val="21"/>
              </w:rPr>
              <w:t>完成上级管控目标</w:t>
            </w:r>
          </w:p>
        </w:tc>
        <w:tc>
          <w:tcPr>
            <w:tcW w:w="479" w:type="pct"/>
            <w:vAlign w:val="center"/>
          </w:tcPr>
          <w:p w14:paraId="15B87561">
            <w:pPr>
              <w:ind w:left="-53" w:leftChars="-25" w:right="-53" w:rightChars="-25"/>
              <w:jc w:val="center"/>
              <w:rPr>
                <w:rFonts w:eastAsia="宋体" w:cs="Times New Roman"/>
                <w:bCs/>
                <w:szCs w:val="21"/>
              </w:rPr>
            </w:pPr>
            <w:r>
              <w:rPr>
                <w:rFonts w:eastAsia="宋体" w:cs="Times New Roman"/>
                <w:bCs/>
                <w:szCs w:val="21"/>
              </w:rPr>
              <w:t>完成上级管控目标</w:t>
            </w:r>
          </w:p>
        </w:tc>
        <w:tc>
          <w:tcPr>
            <w:tcW w:w="465" w:type="pct"/>
            <w:vAlign w:val="center"/>
          </w:tcPr>
          <w:p w14:paraId="607BC49B">
            <w:pPr>
              <w:ind w:left="-53" w:leftChars="-25" w:right="-53" w:rightChars="-25"/>
              <w:jc w:val="center"/>
              <w:rPr>
                <w:rFonts w:eastAsia="宋体" w:cs="Times New Roman"/>
                <w:bCs/>
                <w:szCs w:val="21"/>
              </w:rPr>
            </w:pPr>
            <w:r>
              <w:rPr>
                <w:rFonts w:eastAsia="宋体" w:cs="Times New Roman"/>
                <w:bCs/>
                <w:szCs w:val="21"/>
              </w:rPr>
              <w:t>完成上级管控目标</w:t>
            </w:r>
          </w:p>
        </w:tc>
        <w:tc>
          <w:tcPr>
            <w:tcW w:w="299" w:type="pct"/>
            <w:vAlign w:val="center"/>
          </w:tcPr>
          <w:p w14:paraId="07325B42">
            <w:pPr>
              <w:ind w:left="-53" w:leftChars="-25" w:right="-53" w:rightChars="-25"/>
              <w:jc w:val="center"/>
              <w:rPr>
                <w:rFonts w:eastAsia="宋体" w:cs="Times New Roman"/>
                <w:bCs/>
                <w:szCs w:val="21"/>
              </w:rPr>
            </w:pPr>
            <w:r>
              <w:rPr>
                <w:rFonts w:eastAsia="宋体" w:cs="Times New Roman"/>
                <w:bCs/>
                <w:szCs w:val="21"/>
              </w:rPr>
              <w:t>约束性</w:t>
            </w:r>
          </w:p>
        </w:tc>
      </w:tr>
      <w:tr w14:paraId="0EE628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7" w:hRule="atLeast"/>
        </w:trPr>
        <w:tc>
          <w:tcPr>
            <w:tcW w:w="154" w:type="pct"/>
            <w:vMerge w:val="continue"/>
            <w:vAlign w:val="center"/>
          </w:tcPr>
          <w:p w14:paraId="0610BAD5">
            <w:pPr>
              <w:ind w:left="-53" w:leftChars="-25" w:right="-53" w:rightChars="-25"/>
              <w:jc w:val="center"/>
              <w:rPr>
                <w:rFonts w:eastAsia="宋体" w:cs="Times New Roman"/>
                <w:szCs w:val="21"/>
              </w:rPr>
            </w:pPr>
          </w:p>
        </w:tc>
        <w:tc>
          <w:tcPr>
            <w:tcW w:w="260" w:type="pct"/>
            <w:vMerge w:val="continue"/>
            <w:vAlign w:val="center"/>
          </w:tcPr>
          <w:p w14:paraId="4ADC380C">
            <w:pPr>
              <w:ind w:left="-53" w:leftChars="-25" w:right="-53" w:rightChars="-25"/>
              <w:rPr>
                <w:rFonts w:eastAsia="宋体" w:cs="Times New Roman"/>
                <w:szCs w:val="21"/>
              </w:rPr>
            </w:pPr>
          </w:p>
        </w:tc>
        <w:tc>
          <w:tcPr>
            <w:tcW w:w="162" w:type="pct"/>
            <w:vAlign w:val="center"/>
          </w:tcPr>
          <w:p w14:paraId="7D5F06D0">
            <w:pPr>
              <w:ind w:left="-53" w:leftChars="-25" w:right="-53" w:rightChars="-25"/>
              <w:jc w:val="center"/>
              <w:rPr>
                <w:rFonts w:eastAsia="宋体" w:cs="Times New Roman"/>
                <w:szCs w:val="21"/>
              </w:rPr>
            </w:pPr>
            <w:r>
              <w:rPr>
                <w:rFonts w:eastAsia="宋体" w:cs="Times New Roman"/>
                <w:szCs w:val="21"/>
              </w:rPr>
              <w:t>24</w:t>
            </w:r>
          </w:p>
        </w:tc>
        <w:tc>
          <w:tcPr>
            <w:tcW w:w="1001" w:type="pct"/>
            <w:vAlign w:val="center"/>
          </w:tcPr>
          <w:p w14:paraId="41954D54">
            <w:pPr>
              <w:ind w:left="-53" w:leftChars="-25" w:right="-53" w:rightChars="-25"/>
              <w:rPr>
                <w:rFonts w:eastAsia="宋体" w:cs="Times New Roman"/>
                <w:szCs w:val="21"/>
              </w:rPr>
            </w:pPr>
            <w:r>
              <w:rPr>
                <w:rFonts w:eastAsia="宋体" w:cs="Times New Roman"/>
                <w:bCs/>
                <w:szCs w:val="21"/>
              </w:rPr>
              <w:t>自然岸线保有率</w:t>
            </w:r>
          </w:p>
        </w:tc>
        <w:tc>
          <w:tcPr>
            <w:tcW w:w="222" w:type="pct"/>
            <w:vAlign w:val="center"/>
          </w:tcPr>
          <w:p w14:paraId="17C45B6C">
            <w:pPr>
              <w:ind w:left="-53" w:leftChars="-25" w:right="-53" w:rightChars="-25"/>
              <w:jc w:val="center"/>
              <w:rPr>
                <w:rFonts w:eastAsia="宋体" w:cs="Times New Roman"/>
                <w:szCs w:val="21"/>
              </w:rPr>
            </w:pPr>
            <w:r>
              <w:rPr>
                <w:rFonts w:eastAsia="宋体" w:cs="Times New Roman"/>
                <w:szCs w:val="21"/>
              </w:rPr>
              <w:t>%</w:t>
            </w:r>
          </w:p>
        </w:tc>
        <w:tc>
          <w:tcPr>
            <w:tcW w:w="433" w:type="pct"/>
            <w:vAlign w:val="center"/>
          </w:tcPr>
          <w:p w14:paraId="62F3F1C9">
            <w:pPr>
              <w:ind w:left="-53" w:leftChars="-25" w:right="-53" w:rightChars="-25"/>
              <w:jc w:val="center"/>
              <w:rPr>
                <w:rFonts w:eastAsia="宋体" w:cs="Times New Roman"/>
                <w:szCs w:val="21"/>
              </w:rPr>
            </w:pPr>
            <w:r>
              <w:rPr>
                <w:rFonts w:eastAsia="宋体" w:cs="Times New Roman"/>
                <w:bCs/>
                <w:szCs w:val="21"/>
              </w:rPr>
              <w:t>完成上级管控目标</w:t>
            </w:r>
          </w:p>
        </w:tc>
        <w:tc>
          <w:tcPr>
            <w:tcW w:w="473" w:type="pct"/>
            <w:vAlign w:val="center"/>
          </w:tcPr>
          <w:p w14:paraId="438F84A9">
            <w:pPr>
              <w:ind w:left="-53" w:leftChars="-25" w:right="-53" w:rightChars="-25"/>
              <w:jc w:val="center"/>
              <w:rPr>
                <w:rFonts w:eastAsia="宋体" w:cs="Times New Roman"/>
                <w:szCs w:val="21"/>
              </w:rPr>
            </w:pPr>
            <w:r>
              <w:rPr>
                <w:rFonts w:eastAsia="宋体" w:cs="Times New Roman"/>
                <w:bCs/>
                <w:szCs w:val="21"/>
              </w:rPr>
              <w:t>完成上级管控目标</w:t>
            </w:r>
          </w:p>
        </w:tc>
        <w:tc>
          <w:tcPr>
            <w:tcW w:w="564" w:type="pct"/>
            <w:vAlign w:val="center"/>
          </w:tcPr>
          <w:p w14:paraId="73E11CA9">
            <w:pPr>
              <w:ind w:left="-53" w:leftChars="-25" w:right="-53" w:rightChars="-25"/>
              <w:jc w:val="center"/>
              <w:rPr>
                <w:rFonts w:eastAsia="宋体" w:cs="Times New Roman"/>
                <w:szCs w:val="21"/>
              </w:rPr>
            </w:pPr>
            <w:r>
              <w:rPr>
                <w:rFonts w:eastAsia="宋体" w:cs="Times New Roman"/>
                <w:bCs/>
                <w:szCs w:val="21"/>
              </w:rPr>
              <w:t>已完成</w:t>
            </w:r>
          </w:p>
        </w:tc>
        <w:tc>
          <w:tcPr>
            <w:tcW w:w="483" w:type="pct"/>
            <w:vAlign w:val="center"/>
          </w:tcPr>
          <w:p w14:paraId="1E15745C">
            <w:pPr>
              <w:ind w:left="-53" w:leftChars="-25" w:right="-53" w:rightChars="-25"/>
              <w:jc w:val="center"/>
              <w:rPr>
                <w:rFonts w:eastAsia="宋体" w:cs="Times New Roman"/>
                <w:bCs/>
                <w:szCs w:val="21"/>
              </w:rPr>
            </w:pPr>
            <w:r>
              <w:rPr>
                <w:rFonts w:eastAsia="宋体" w:cs="Times New Roman"/>
                <w:bCs/>
                <w:szCs w:val="21"/>
              </w:rPr>
              <w:t>完成上级管控目标</w:t>
            </w:r>
          </w:p>
        </w:tc>
        <w:tc>
          <w:tcPr>
            <w:tcW w:w="479" w:type="pct"/>
            <w:vAlign w:val="center"/>
          </w:tcPr>
          <w:p w14:paraId="381DB5BA">
            <w:pPr>
              <w:ind w:left="-53" w:leftChars="-25" w:right="-53" w:rightChars="-25"/>
              <w:jc w:val="center"/>
              <w:rPr>
                <w:rFonts w:eastAsia="宋体" w:cs="Times New Roman"/>
                <w:bCs/>
                <w:szCs w:val="21"/>
              </w:rPr>
            </w:pPr>
            <w:r>
              <w:rPr>
                <w:rFonts w:eastAsia="宋体" w:cs="Times New Roman"/>
                <w:bCs/>
                <w:szCs w:val="21"/>
              </w:rPr>
              <w:t>完成上级管控目标</w:t>
            </w:r>
          </w:p>
        </w:tc>
        <w:tc>
          <w:tcPr>
            <w:tcW w:w="465" w:type="pct"/>
            <w:vAlign w:val="center"/>
          </w:tcPr>
          <w:p w14:paraId="66D18546">
            <w:pPr>
              <w:ind w:left="-53" w:leftChars="-25" w:right="-53" w:rightChars="-25"/>
              <w:jc w:val="center"/>
              <w:rPr>
                <w:rFonts w:eastAsia="宋体" w:cs="Times New Roman"/>
                <w:bCs/>
                <w:szCs w:val="21"/>
              </w:rPr>
            </w:pPr>
            <w:r>
              <w:rPr>
                <w:rFonts w:eastAsia="宋体" w:cs="Times New Roman"/>
                <w:bCs/>
                <w:szCs w:val="21"/>
              </w:rPr>
              <w:t>完成上级管控目标</w:t>
            </w:r>
          </w:p>
        </w:tc>
        <w:tc>
          <w:tcPr>
            <w:tcW w:w="299" w:type="pct"/>
            <w:vAlign w:val="center"/>
          </w:tcPr>
          <w:p w14:paraId="0EF2AD11">
            <w:pPr>
              <w:ind w:left="-53" w:leftChars="-25" w:right="-53" w:rightChars="-25"/>
              <w:jc w:val="center"/>
              <w:rPr>
                <w:rFonts w:eastAsia="宋体" w:cs="Times New Roman"/>
                <w:szCs w:val="21"/>
              </w:rPr>
            </w:pPr>
            <w:r>
              <w:rPr>
                <w:rFonts w:eastAsia="宋体" w:cs="Times New Roman"/>
                <w:bCs/>
                <w:szCs w:val="21"/>
              </w:rPr>
              <w:t>参考性</w:t>
            </w:r>
          </w:p>
        </w:tc>
      </w:tr>
      <w:tr w14:paraId="51B18F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4" w:type="pct"/>
            <w:vMerge w:val="restart"/>
            <w:vAlign w:val="center"/>
          </w:tcPr>
          <w:p w14:paraId="2EAB150E">
            <w:pPr>
              <w:ind w:left="-53" w:leftChars="-25" w:right="-53" w:rightChars="-25"/>
              <w:jc w:val="center"/>
              <w:rPr>
                <w:rFonts w:eastAsia="宋体" w:cs="Times New Roman"/>
                <w:szCs w:val="21"/>
              </w:rPr>
            </w:pPr>
            <w:r>
              <w:rPr>
                <w:rFonts w:eastAsia="宋体" w:cs="Times New Roman"/>
                <w:bCs/>
                <w:szCs w:val="21"/>
              </w:rPr>
              <w:t>生态经济</w:t>
            </w:r>
          </w:p>
        </w:tc>
        <w:tc>
          <w:tcPr>
            <w:tcW w:w="260" w:type="pct"/>
            <w:vMerge w:val="restart"/>
            <w:vAlign w:val="center"/>
          </w:tcPr>
          <w:p w14:paraId="745379EC">
            <w:pPr>
              <w:ind w:left="-53" w:leftChars="-25" w:right="-53" w:rightChars="-25"/>
              <w:rPr>
                <w:rFonts w:eastAsia="宋体" w:cs="Times New Roman"/>
                <w:szCs w:val="21"/>
              </w:rPr>
            </w:pPr>
            <w:r>
              <w:rPr>
                <w:rFonts w:eastAsia="宋体" w:cs="Times New Roman"/>
                <w:bCs/>
                <w:szCs w:val="21"/>
              </w:rPr>
              <w:t>（六）资源节约与利用</w:t>
            </w:r>
          </w:p>
        </w:tc>
        <w:tc>
          <w:tcPr>
            <w:tcW w:w="162" w:type="pct"/>
            <w:vAlign w:val="center"/>
          </w:tcPr>
          <w:p w14:paraId="417949A5">
            <w:pPr>
              <w:ind w:left="-53" w:leftChars="-25" w:right="-53" w:rightChars="-25"/>
              <w:jc w:val="center"/>
              <w:rPr>
                <w:rFonts w:eastAsia="宋体" w:cs="Times New Roman"/>
                <w:szCs w:val="21"/>
              </w:rPr>
            </w:pPr>
            <w:r>
              <w:rPr>
                <w:rFonts w:eastAsia="宋体" w:cs="Times New Roman"/>
                <w:szCs w:val="21"/>
              </w:rPr>
              <w:t>25</w:t>
            </w:r>
          </w:p>
        </w:tc>
        <w:tc>
          <w:tcPr>
            <w:tcW w:w="1001" w:type="pct"/>
            <w:vAlign w:val="center"/>
          </w:tcPr>
          <w:p w14:paraId="650B22F8">
            <w:pPr>
              <w:ind w:left="-53" w:leftChars="-25" w:right="-53" w:rightChars="-25"/>
              <w:rPr>
                <w:rFonts w:eastAsia="宋体" w:cs="Times New Roman"/>
                <w:szCs w:val="21"/>
              </w:rPr>
            </w:pPr>
            <w:r>
              <w:rPr>
                <w:rFonts w:eastAsia="宋体" w:cs="Times New Roman"/>
                <w:bCs/>
                <w:szCs w:val="21"/>
              </w:rPr>
              <w:t>单位地区生产总值能耗</w:t>
            </w:r>
          </w:p>
        </w:tc>
        <w:tc>
          <w:tcPr>
            <w:tcW w:w="222" w:type="pct"/>
            <w:vAlign w:val="center"/>
          </w:tcPr>
          <w:p w14:paraId="774970BD">
            <w:pPr>
              <w:ind w:left="-53" w:leftChars="-25" w:right="-53" w:rightChars="-25"/>
              <w:jc w:val="center"/>
              <w:rPr>
                <w:rFonts w:eastAsia="宋体" w:cs="Times New Roman"/>
                <w:szCs w:val="21"/>
              </w:rPr>
            </w:pPr>
            <w:r>
              <w:rPr>
                <w:rFonts w:eastAsia="宋体" w:cs="Times New Roman"/>
                <w:bCs/>
                <w:szCs w:val="21"/>
              </w:rPr>
              <w:t>吨标准煤/万元</w:t>
            </w:r>
          </w:p>
        </w:tc>
        <w:tc>
          <w:tcPr>
            <w:tcW w:w="433" w:type="pct"/>
            <w:vAlign w:val="center"/>
          </w:tcPr>
          <w:p w14:paraId="5776EB09">
            <w:pPr>
              <w:ind w:left="-53" w:leftChars="-25" w:right="-53" w:rightChars="-25"/>
              <w:jc w:val="center"/>
              <w:rPr>
                <w:rFonts w:eastAsia="宋体" w:cs="Times New Roman"/>
                <w:szCs w:val="21"/>
              </w:rPr>
            </w:pPr>
            <w:r>
              <w:rPr>
                <w:rFonts w:eastAsia="宋体" w:cs="Times New Roman"/>
                <w:bCs/>
                <w:szCs w:val="21"/>
              </w:rPr>
              <w:t>完成上级规定的目标任务；保持稳定或持续改善</w:t>
            </w:r>
          </w:p>
        </w:tc>
        <w:tc>
          <w:tcPr>
            <w:tcW w:w="473" w:type="pct"/>
            <w:vAlign w:val="center"/>
          </w:tcPr>
          <w:p w14:paraId="08239329">
            <w:pPr>
              <w:ind w:left="-53" w:leftChars="-25" w:right="-53" w:rightChars="-25"/>
              <w:jc w:val="center"/>
              <w:rPr>
                <w:rFonts w:eastAsia="宋体" w:cs="Times New Roman"/>
                <w:szCs w:val="21"/>
              </w:rPr>
            </w:pPr>
            <w:r>
              <w:rPr>
                <w:rFonts w:hint="eastAsia" w:eastAsia="宋体" w:cs="Times New Roman"/>
                <w:bCs/>
                <w:szCs w:val="21"/>
              </w:rPr>
              <w:t>0.03，</w:t>
            </w:r>
            <w:r>
              <w:rPr>
                <w:rFonts w:eastAsia="宋体" w:cs="Times New Roman"/>
                <w:bCs/>
                <w:szCs w:val="21"/>
              </w:rPr>
              <w:t>完成上级规定的目标任务</w:t>
            </w:r>
            <w:r>
              <w:rPr>
                <w:rFonts w:hint="eastAsia" w:eastAsia="宋体" w:cs="Times New Roman"/>
                <w:bCs/>
                <w:szCs w:val="21"/>
              </w:rPr>
              <w:t>并</w:t>
            </w:r>
            <w:r>
              <w:rPr>
                <w:rFonts w:eastAsia="宋体" w:cs="Times New Roman"/>
                <w:bCs/>
                <w:szCs w:val="21"/>
              </w:rPr>
              <w:t>持续改善</w:t>
            </w:r>
          </w:p>
        </w:tc>
        <w:tc>
          <w:tcPr>
            <w:tcW w:w="564" w:type="pct"/>
            <w:vAlign w:val="center"/>
          </w:tcPr>
          <w:p w14:paraId="57D14C08">
            <w:pPr>
              <w:ind w:left="-53" w:leftChars="-25" w:right="-53" w:rightChars="-25"/>
              <w:jc w:val="center"/>
              <w:rPr>
                <w:rFonts w:eastAsia="宋体" w:cs="Times New Roman"/>
                <w:szCs w:val="21"/>
              </w:rPr>
            </w:pPr>
            <w:r>
              <w:rPr>
                <w:rFonts w:eastAsia="宋体" w:cs="Times New Roman"/>
                <w:bCs/>
                <w:szCs w:val="21"/>
              </w:rPr>
              <w:t>已完成</w:t>
            </w:r>
          </w:p>
        </w:tc>
        <w:tc>
          <w:tcPr>
            <w:tcW w:w="483" w:type="pct"/>
            <w:vAlign w:val="center"/>
          </w:tcPr>
          <w:p w14:paraId="135EBB55">
            <w:pPr>
              <w:ind w:left="-53" w:leftChars="-25" w:right="-53" w:rightChars="-25"/>
              <w:jc w:val="center"/>
              <w:rPr>
                <w:rFonts w:eastAsia="宋体" w:cs="Times New Roman"/>
                <w:bCs/>
                <w:szCs w:val="21"/>
              </w:rPr>
            </w:pPr>
            <w:r>
              <w:rPr>
                <w:rFonts w:eastAsia="宋体" w:cs="Times New Roman"/>
                <w:bCs/>
                <w:szCs w:val="21"/>
              </w:rPr>
              <w:t>完成上级规定的目标任务；保持稳定或持续改善</w:t>
            </w:r>
          </w:p>
        </w:tc>
        <w:tc>
          <w:tcPr>
            <w:tcW w:w="479" w:type="pct"/>
            <w:vAlign w:val="center"/>
          </w:tcPr>
          <w:p w14:paraId="344558FD">
            <w:pPr>
              <w:ind w:left="-53" w:leftChars="-25" w:right="-53" w:rightChars="-25"/>
              <w:jc w:val="center"/>
              <w:rPr>
                <w:rFonts w:eastAsia="宋体" w:cs="Times New Roman"/>
                <w:bCs/>
                <w:szCs w:val="21"/>
              </w:rPr>
            </w:pPr>
            <w:r>
              <w:rPr>
                <w:rFonts w:eastAsia="宋体" w:cs="Times New Roman"/>
                <w:bCs/>
                <w:szCs w:val="21"/>
              </w:rPr>
              <w:t>完成上级规定的目标任务；保持稳定或持续改善</w:t>
            </w:r>
          </w:p>
        </w:tc>
        <w:tc>
          <w:tcPr>
            <w:tcW w:w="465" w:type="pct"/>
            <w:vAlign w:val="center"/>
          </w:tcPr>
          <w:p w14:paraId="6373A2B9">
            <w:pPr>
              <w:ind w:left="-53" w:leftChars="-25" w:right="-53" w:rightChars="-25"/>
              <w:jc w:val="center"/>
              <w:rPr>
                <w:rFonts w:eastAsia="宋体" w:cs="Times New Roman"/>
                <w:bCs/>
                <w:szCs w:val="21"/>
              </w:rPr>
            </w:pPr>
            <w:r>
              <w:rPr>
                <w:rFonts w:eastAsia="宋体" w:cs="Times New Roman"/>
                <w:bCs/>
                <w:szCs w:val="21"/>
              </w:rPr>
              <w:t>完成上级规定的目标任务；保持稳定或持续改善</w:t>
            </w:r>
          </w:p>
        </w:tc>
        <w:tc>
          <w:tcPr>
            <w:tcW w:w="299" w:type="pct"/>
            <w:vAlign w:val="center"/>
          </w:tcPr>
          <w:p w14:paraId="6636719D">
            <w:pPr>
              <w:ind w:left="-53" w:leftChars="-25" w:right="-53" w:rightChars="-25"/>
              <w:jc w:val="center"/>
              <w:rPr>
                <w:rFonts w:eastAsia="宋体" w:cs="Times New Roman"/>
                <w:szCs w:val="21"/>
              </w:rPr>
            </w:pPr>
            <w:r>
              <w:rPr>
                <w:rFonts w:eastAsia="宋体" w:cs="Times New Roman"/>
                <w:bCs/>
                <w:szCs w:val="21"/>
              </w:rPr>
              <w:t>约束性</w:t>
            </w:r>
          </w:p>
        </w:tc>
      </w:tr>
      <w:tr w14:paraId="004D62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4" w:type="pct"/>
            <w:vMerge w:val="continue"/>
            <w:vAlign w:val="center"/>
          </w:tcPr>
          <w:p w14:paraId="23CD42A1">
            <w:pPr>
              <w:ind w:left="-53" w:leftChars="-25" w:right="-53" w:rightChars="-25"/>
              <w:jc w:val="center"/>
              <w:rPr>
                <w:rFonts w:eastAsia="宋体" w:cs="Times New Roman"/>
                <w:szCs w:val="21"/>
              </w:rPr>
            </w:pPr>
          </w:p>
        </w:tc>
        <w:tc>
          <w:tcPr>
            <w:tcW w:w="260" w:type="pct"/>
            <w:vMerge w:val="continue"/>
            <w:vAlign w:val="center"/>
          </w:tcPr>
          <w:p w14:paraId="1481D935">
            <w:pPr>
              <w:ind w:left="-53" w:leftChars="-25" w:right="-53" w:rightChars="-25"/>
              <w:rPr>
                <w:rFonts w:eastAsia="宋体" w:cs="Times New Roman"/>
                <w:szCs w:val="21"/>
              </w:rPr>
            </w:pPr>
          </w:p>
        </w:tc>
        <w:tc>
          <w:tcPr>
            <w:tcW w:w="162" w:type="pct"/>
            <w:vAlign w:val="center"/>
          </w:tcPr>
          <w:p w14:paraId="54767B01">
            <w:pPr>
              <w:ind w:left="-53" w:leftChars="-25" w:right="-53" w:rightChars="-25"/>
              <w:jc w:val="center"/>
              <w:rPr>
                <w:rFonts w:eastAsia="宋体" w:cs="Times New Roman"/>
                <w:szCs w:val="21"/>
              </w:rPr>
            </w:pPr>
            <w:r>
              <w:rPr>
                <w:rFonts w:eastAsia="宋体" w:cs="Times New Roman"/>
                <w:szCs w:val="21"/>
              </w:rPr>
              <w:t>26</w:t>
            </w:r>
          </w:p>
        </w:tc>
        <w:tc>
          <w:tcPr>
            <w:tcW w:w="1001" w:type="pct"/>
            <w:vAlign w:val="center"/>
          </w:tcPr>
          <w:p w14:paraId="6059AA68">
            <w:pPr>
              <w:ind w:left="-53" w:leftChars="-25" w:right="-53" w:rightChars="-25"/>
              <w:rPr>
                <w:rFonts w:eastAsia="宋体" w:cs="Times New Roman"/>
                <w:szCs w:val="21"/>
              </w:rPr>
            </w:pPr>
            <w:r>
              <w:rPr>
                <w:rFonts w:eastAsia="宋体" w:cs="Times New Roman"/>
                <w:bCs/>
                <w:szCs w:val="21"/>
              </w:rPr>
              <w:t>单位地区生产总值用水量</w:t>
            </w:r>
          </w:p>
        </w:tc>
        <w:tc>
          <w:tcPr>
            <w:tcW w:w="222" w:type="pct"/>
            <w:vAlign w:val="center"/>
          </w:tcPr>
          <w:p w14:paraId="6AEB37D6">
            <w:pPr>
              <w:ind w:left="-53" w:leftChars="-25" w:right="-53" w:rightChars="-25"/>
              <w:jc w:val="center"/>
              <w:rPr>
                <w:rFonts w:eastAsia="宋体" w:cs="Times New Roman"/>
                <w:szCs w:val="21"/>
              </w:rPr>
            </w:pPr>
            <w:r>
              <w:rPr>
                <w:rFonts w:eastAsia="宋体" w:cs="Times New Roman"/>
                <w:bCs/>
                <w:szCs w:val="21"/>
              </w:rPr>
              <w:t>立方米/万元</w:t>
            </w:r>
          </w:p>
        </w:tc>
        <w:tc>
          <w:tcPr>
            <w:tcW w:w="433" w:type="pct"/>
            <w:vAlign w:val="center"/>
          </w:tcPr>
          <w:p w14:paraId="5CCA07B3">
            <w:pPr>
              <w:ind w:left="-53" w:leftChars="-25" w:right="-53" w:rightChars="-25"/>
              <w:jc w:val="center"/>
              <w:rPr>
                <w:rFonts w:eastAsia="宋体" w:cs="Times New Roman"/>
                <w:bCs/>
                <w:szCs w:val="21"/>
              </w:rPr>
            </w:pPr>
            <w:r>
              <w:rPr>
                <w:rFonts w:eastAsia="宋体" w:cs="Times New Roman"/>
                <w:bCs/>
                <w:szCs w:val="21"/>
              </w:rPr>
              <w:t>完成上级规定的目标任务，保持稳定或持续改善</w:t>
            </w:r>
          </w:p>
        </w:tc>
        <w:tc>
          <w:tcPr>
            <w:tcW w:w="473" w:type="pct"/>
            <w:vAlign w:val="center"/>
          </w:tcPr>
          <w:p w14:paraId="4D963AB7">
            <w:pPr>
              <w:ind w:left="-53" w:leftChars="-25" w:right="-53" w:rightChars="-25"/>
              <w:jc w:val="center"/>
              <w:rPr>
                <w:rFonts w:eastAsia="宋体" w:cs="Times New Roman"/>
                <w:szCs w:val="21"/>
              </w:rPr>
            </w:pPr>
            <w:r>
              <w:rPr>
                <w:rFonts w:hint="eastAsia" w:eastAsia="宋体" w:cs="Times New Roman"/>
                <w:bCs/>
                <w:szCs w:val="21"/>
              </w:rPr>
              <w:t>152.83，</w:t>
            </w:r>
            <w:r>
              <w:rPr>
                <w:rFonts w:eastAsia="宋体" w:cs="Times New Roman"/>
                <w:bCs/>
                <w:szCs w:val="21"/>
              </w:rPr>
              <w:t>持续改善</w:t>
            </w:r>
          </w:p>
        </w:tc>
        <w:tc>
          <w:tcPr>
            <w:tcW w:w="564" w:type="pct"/>
            <w:vAlign w:val="center"/>
          </w:tcPr>
          <w:p w14:paraId="17574C69">
            <w:pPr>
              <w:ind w:left="-53" w:leftChars="-25" w:right="-53" w:rightChars="-25"/>
              <w:jc w:val="center"/>
              <w:rPr>
                <w:rFonts w:eastAsia="宋体" w:cs="Times New Roman"/>
                <w:szCs w:val="21"/>
              </w:rPr>
            </w:pPr>
            <w:r>
              <w:rPr>
                <w:rFonts w:eastAsia="宋体" w:cs="Times New Roman"/>
                <w:bCs/>
                <w:szCs w:val="21"/>
              </w:rPr>
              <w:t>已完成</w:t>
            </w:r>
          </w:p>
        </w:tc>
        <w:tc>
          <w:tcPr>
            <w:tcW w:w="483" w:type="pct"/>
            <w:vAlign w:val="center"/>
          </w:tcPr>
          <w:p w14:paraId="0B1B0807">
            <w:pPr>
              <w:ind w:left="-53" w:leftChars="-25" w:right="-53" w:rightChars="-25"/>
              <w:jc w:val="center"/>
              <w:rPr>
                <w:rFonts w:eastAsia="宋体" w:cs="Times New Roman"/>
                <w:bCs/>
                <w:szCs w:val="21"/>
              </w:rPr>
            </w:pPr>
            <w:r>
              <w:rPr>
                <w:rFonts w:eastAsia="宋体" w:cs="Times New Roman"/>
                <w:bCs/>
                <w:szCs w:val="21"/>
              </w:rPr>
              <w:t>完成上级规定的目标任务，保持稳定或持续改善</w:t>
            </w:r>
          </w:p>
        </w:tc>
        <w:tc>
          <w:tcPr>
            <w:tcW w:w="479" w:type="pct"/>
            <w:vAlign w:val="center"/>
          </w:tcPr>
          <w:p w14:paraId="270FAAA5">
            <w:pPr>
              <w:ind w:left="-53" w:leftChars="-25" w:right="-53" w:rightChars="-25"/>
              <w:jc w:val="center"/>
              <w:rPr>
                <w:rFonts w:eastAsia="宋体" w:cs="Times New Roman"/>
                <w:bCs/>
                <w:szCs w:val="21"/>
              </w:rPr>
            </w:pPr>
            <w:r>
              <w:rPr>
                <w:rFonts w:eastAsia="宋体" w:cs="Times New Roman"/>
                <w:bCs/>
                <w:szCs w:val="21"/>
              </w:rPr>
              <w:t>完成上级规定的目标任务，保持稳定或持续改善</w:t>
            </w:r>
          </w:p>
        </w:tc>
        <w:tc>
          <w:tcPr>
            <w:tcW w:w="465" w:type="pct"/>
            <w:vAlign w:val="center"/>
          </w:tcPr>
          <w:p w14:paraId="1F1234F7">
            <w:pPr>
              <w:ind w:left="-53" w:leftChars="-25" w:right="-53" w:rightChars="-25"/>
              <w:jc w:val="center"/>
              <w:rPr>
                <w:rFonts w:eastAsia="宋体" w:cs="Times New Roman"/>
                <w:bCs/>
                <w:szCs w:val="21"/>
              </w:rPr>
            </w:pPr>
            <w:r>
              <w:rPr>
                <w:rFonts w:eastAsia="宋体" w:cs="Times New Roman"/>
                <w:bCs/>
                <w:szCs w:val="21"/>
              </w:rPr>
              <w:t>完成上级规定的目标任务，保持稳定或持续改善</w:t>
            </w:r>
          </w:p>
        </w:tc>
        <w:tc>
          <w:tcPr>
            <w:tcW w:w="299" w:type="pct"/>
            <w:vAlign w:val="center"/>
          </w:tcPr>
          <w:p w14:paraId="1886A3FA">
            <w:pPr>
              <w:ind w:left="-53" w:leftChars="-25" w:right="-53" w:rightChars="-25"/>
              <w:jc w:val="center"/>
              <w:rPr>
                <w:rFonts w:eastAsia="宋体" w:cs="Times New Roman"/>
                <w:szCs w:val="21"/>
              </w:rPr>
            </w:pPr>
            <w:r>
              <w:rPr>
                <w:rFonts w:eastAsia="宋体" w:cs="Times New Roman"/>
                <w:bCs/>
                <w:szCs w:val="21"/>
              </w:rPr>
              <w:t>约束性</w:t>
            </w:r>
          </w:p>
        </w:tc>
      </w:tr>
      <w:tr w14:paraId="0C8FD2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4" w:type="pct"/>
            <w:vMerge w:val="continue"/>
            <w:vAlign w:val="center"/>
          </w:tcPr>
          <w:p w14:paraId="33D3EFB2">
            <w:pPr>
              <w:ind w:left="-53" w:leftChars="-25" w:right="-53" w:rightChars="-25"/>
              <w:jc w:val="center"/>
              <w:rPr>
                <w:rFonts w:eastAsia="宋体" w:cs="Times New Roman"/>
                <w:szCs w:val="21"/>
              </w:rPr>
            </w:pPr>
          </w:p>
        </w:tc>
        <w:tc>
          <w:tcPr>
            <w:tcW w:w="260" w:type="pct"/>
            <w:vMerge w:val="continue"/>
            <w:vAlign w:val="center"/>
          </w:tcPr>
          <w:p w14:paraId="649F535C">
            <w:pPr>
              <w:ind w:left="-53" w:leftChars="-25" w:right="-53" w:rightChars="-25"/>
              <w:rPr>
                <w:rFonts w:eastAsia="宋体" w:cs="Times New Roman"/>
                <w:szCs w:val="21"/>
              </w:rPr>
            </w:pPr>
          </w:p>
        </w:tc>
        <w:tc>
          <w:tcPr>
            <w:tcW w:w="162" w:type="pct"/>
            <w:vAlign w:val="center"/>
          </w:tcPr>
          <w:p w14:paraId="4F4DD487">
            <w:pPr>
              <w:ind w:left="-53" w:leftChars="-25" w:right="-53" w:rightChars="-25"/>
              <w:jc w:val="center"/>
              <w:rPr>
                <w:rFonts w:eastAsia="宋体" w:cs="Times New Roman"/>
                <w:szCs w:val="21"/>
              </w:rPr>
            </w:pPr>
            <w:r>
              <w:rPr>
                <w:rFonts w:eastAsia="宋体" w:cs="Times New Roman"/>
                <w:szCs w:val="21"/>
              </w:rPr>
              <w:t>27</w:t>
            </w:r>
          </w:p>
        </w:tc>
        <w:tc>
          <w:tcPr>
            <w:tcW w:w="1001" w:type="pct"/>
            <w:vAlign w:val="center"/>
          </w:tcPr>
          <w:p w14:paraId="77DF0C4A">
            <w:pPr>
              <w:ind w:left="-53" w:leftChars="-25" w:right="-53" w:rightChars="-25"/>
              <w:rPr>
                <w:rFonts w:eastAsia="宋体" w:cs="Times New Roman"/>
                <w:szCs w:val="21"/>
              </w:rPr>
            </w:pPr>
            <w:r>
              <w:rPr>
                <w:rFonts w:eastAsia="宋体" w:cs="Times New Roman"/>
                <w:bCs/>
                <w:szCs w:val="21"/>
              </w:rPr>
              <w:t>单位国内生产总值建设用地使用面积下降率</w:t>
            </w:r>
          </w:p>
        </w:tc>
        <w:tc>
          <w:tcPr>
            <w:tcW w:w="222" w:type="pct"/>
            <w:vAlign w:val="center"/>
          </w:tcPr>
          <w:p w14:paraId="42E77D80">
            <w:pPr>
              <w:ind w:left="-53" w:leftChars="-25" w:right="-53" w:rightChars="-25"/>
              <w:jc w:val="center"/>
              <w:rPr>
                <w:rFonts w:eastAsia="宋体" w:cs="Times New Roman"/>
                <w:szCs w:val="21"/>
              </w:rPr>
            </w:pPr>
            <w:r>
              <w:rPr>
                <w:rFonts w:eastAsia="宋体" w:cs="Times New Roman"/>
                <w:szCs w:val="21"/>
              </w:rPr>
              <w:t>%</w:t>
            </w:r>
          </w:p>
        </w:tc>
        <w:tc>
          <w:tcPr>
            <w:tcW w:w="433" w:type="pct"/>
            <w:vAlign w:val="center"/>
          </w:tcPr>
          <w:p w14:paraId="45C672D6">
            <w:pPr>
              <w:ind w:left="-53" w:leftChars="-25" w:right="-53" w:rightChars="-25"/>
              <w:jc w:val="center"/>
              <w:rPr>
                <w:rFonts w:eastAsia="宋体" w:cs="Times New Roman"/>
                <w:szCs w:val="21"/>
              </w:rPr>
            </w:pPr>
            <w:r>
              <w:rPr>
                <w:rFonts w:eastAsia="宋体" w:cs="Times New Roman"/>
                <w:bCs/>
                <w:szCs w:val="21"/>
              </w:rPr>
              <w:t>≥4.5</w:t>
            </w:r>
          </w:p>
        </w:tc>
        <w:tc>
          <w:tcPr>
            <w:tcW w:w="473" w:type="pct"/>
            <w:vAlign w:val="center"/>
          </w:tcPr>
          <w:p w14:paraId="693065B0">
            <w:pPr>
              <w:ind w:left="-53" w:leftChars="-25" w:right="-53" w:rightChars="-25"/>
              <w:jc w:val="center"/>
              <w:rPr>
                <w:rFonts w:eastAsia="宋体" w:cs="Times New Roman"/>
                <w:bCs/>
                <w:szCs w:val="21"/>
              </w:rPr>
            </w:pPr>
            <w:r>
              <w:rPr>
                <w:rFonts w:eastAsia="宋体" w:cs="Times New Roman"/>
                <w:bCs/>
                <w:szCs w:val="21"/>
              </w:rPr>
              <w:t>4.89</w:t>
            </w:r>
          </w:p>
        </w:tc>
        <w:tc>
          <w:tcPr>
            <w:tcW w:w="564" w:type="pct"/>
            <w:vAlign w:val="center"/>
          </w:tcPr>
          <w:p w14:paraId="00BA0B00">
            <w:pPr>
              <w:ind w:left="-53" w:leftChars="-25" w:right="-53" w:rightChars="-25"/>
              <w:jc w:val="center"/>
              <w:rPr>
                <w:rFonts w:eastAsia="宋体" w:cs="Times New Roman"/>
                <w:bCs/>
                <w:szCs w:val="21"/>
              </w:rPr>
            </w:pPr>
            <w:r>
              <w:rPr>
                <w:rFonts w:eastAsia="宋体" w:cs="Times New Roman"/>
                <w:bCs/>
                <w:szCs w:val="21"/>
              </w:rPr>
              <w:t>已完成</w:t>
            </w:r>
          </w:p>
        </w:tc>
        <w:tc>
          <w:tcPr>
            <w:tcW w:w="483" w:type="pct"/>
            <w:vAlign w:val="center"/>
          </w:tcPr>
          <w:p w14:paraId="7C44AE5A">
            <w:pPr>
              <w:ind w:left="-53" w:leftChars="-25" w:right="-53" w:rightChars="-25"/>
              <w:jc w:val="center"/>
              <w:rPr>
                <w:rFonts w:eastAsia="宋体" w:cs="Times New Roman"/>
                <w:bCs/>
                <w:szCs w:val="21"/>
              </w:rPr>
            </w:pPr>
            <w:r>
              <w:rPr>
                <w:rFonts w:eastAsia="宋体" w:cs="Times New Roman"/>
                <w:bCs/>
                <w:szCs w:val="21"/>
              </w:rPr>
              <w:t>≥</w:t>
            </w:r>
            <w:r>
              <w:rPr>
                <w:rFonts w:hint="eastAsia" w:eastAsia="宋体" w:cs="Times New Roman"/>
                <w:bCs/>
                <w:szCs w:val="21"/>
              </w:rPr>
              <w:t>5.0</w:t>
            </w:r>
          </w:p>
        </w:tc>
        <w:tc>
          <w:tcPr>
            <w:tcW w:w="479" w:type="pct"/>
            <w:vAlign w:val="center"/>
          </w:tcPr>
          <w:p w14:paraId="71E1AB1B">
            <w:pPr>
              <w:ind w:left="-53" w:leftChars="-25" w:right="-53" w:rightChars="-25"/>
              <w:jc w:val="center"/>
              <w:rPr>
                <w:rFonts w:eastAsia="宋体" w:cs="Times New Roman"/>
                <w:bCs/>
                <w:szCs w:val="21"/>
              </w:rPr>
            </w:pPr>
            <w:r>
              <w:rPr>
                <w:rFonts w:eastAsia="宋体" w:cs="Times New Roman"/>
                <w:bCs/>
                <w:szCs w:val="21"/>
              </w:rPr>
              <w:t>≥</w:t>
            </w:r>
            <w:r>
              <w:rPr>
                <w:rFonts w:hint="eastAsia" w:eastAsia="宋体" w:cs="Times New Roman"/>
                <w:bCs/>
                <w:szCs w:val="21"/>
              </w:rPr>
              <w:t>5.0</w:t>
            </w:r>
          </w:p>
        </w:tc>
        <w:tc>
          <w:tcPr>
            <w:tcW w:w="465" w:type="pct"/>
            <w:vAlign w:val="center"/>
          </w:tcPr>
          <w:p w14:paraId="796E0C4A">
            <w:pPr>
              <w:ind w:left="-53" w:leftChars="-25" w:right="-53" w:rightChars="-25"/>
              <w:jc w:val="center"/>
              <w:rPr>
                <w:rFonts w:eastAsia="宋体" w:cs="Times New Roman"/>
                <w:bCs/>
                <w:szCs w:val="21"/>
              </w:rPr>
            </w:pPr>
            <w:r>
              <w:rPr>
                <w:rFonts w:eastAsia="宋体" w:cs="Times New Roman"/>
                <w:bCs/>
                <w:szCs w:val="21"/>
              </w:rPr>
              <w:t>≥</w:t>
            </w:r>
            <w:r>
              <w:rPr>
                <w:rFonts w:hint="eastAsia" w:eastAsia="宋体" w:cs="Times New Roman"/>
                <w:bCs/>
                <w:szCs w:val="21"/>
              </w:rPr>
              <w:t>5.0</w:t>
            </w:r>
          </w:p>
        </w:tc>
        <w:tc>
          <w:tcPr>
            <w:tcW w:w="299" w:type="pct"/>
            <w:vAlign w:val="center"/>
          </w:tcPr>
          <w:p w14:paraId="0DDA58DD">
            <w:pPr>
              <w:ind w:left="-53" w:leftChars="-25" w:right="-53" w:rightChars="-25"/>
              <w:jc w:val="center"/>
              <w:rPr>
                <w:rFonts w:eastAsia="宋体" w:cs="Times New Roman"/>
                <w:szCs w:val="21"/>
              </w:rPr>
            </w:pPr>
            <w:r>
              <w:rPr>
                <w:rFonts w:eastAsia="宋体" w:cs="Times New Roman"/>
                <w:bCs/>
                <w:szCs w:val="21"/>
              </w:rPr>
              <w:t>参考性</w:t>
            </w:r>
          </w:p>
        </w:tc>
      </w:tr>
      <w:tr w14:paraId="4203C1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4" w:type="pct"/>
            <w:vMerge w:val="continue"/>
            <w:vAlign w:val="center"/>
          </w:tcPr>
          <w:p w14:paraId="0478414A">
            <w:pPr>
              <w:ind w:left="-53" w:leftChars="-25" w:right="-53" w:rightChars="-25"/>
              <w:jc w:val="center"/>
              <w:rPr>
                <w:rFonts w:eastAsia="宋体" w:cs="Times New Roman"/>
                <w:szCs w:val="21"/>
              </w:rPr>
            </w:pPr>
          </w:p>
        </w:tc>
        <w:tc>
          <w:tcPr>
            <w:tcW w:w="260" w:type="pct"/>
            <w:vMerge w:val="restart"/>
            <w:vAlign w:val="center"/>
          </w:tcPr>
          <w:p w14:paraId="146D6DF5">
            <w:pPr>
              <w:ind w:left="-53" w:leftChars="-25" w:right="-53" w:rightChars="-25"/>
              <w:rPr>
                <w:rFonts w:eastAsia="宋体" w:cs="Times New Roman"/>
                <w:szCs w:val="21"/>
              </w:rPr>
            </w:pPr>
            <w:r>
              <w:rPr>
                <w:rFonts w:eastAsia="宋体" w:cs="Times New Roman"/>
                <w:bCs/>
                <w:szCs w:val="21"/>
              </w:rPr>
              <w:t>（七）产业循环发展</w:t>
            </w:r>
          </w:p>
        </w:tc>
        <w:tc>
          <w:tcPr>
            <w:tcW w:w="162" w:type="pct"/>
            <w:vAlign w:val="center"/>
          </w:tcPr>
          <w:p w14:paraId="451FFAB7">
            <w:pPr>
              <w:ind w:left="-53" w:leftChars="-25" w:right="-53" w:rightChars="-25"/>
              <w:jc w:val="center"/>
              <w:rPr>
                <w:rFonts w:eastAsia="宋体" w:cs="Times New Roman"/>
                <w:szCs w:val="21"/>
              </w:rPr>
            </w:pPr>
            <w:r>
              <w:rPr>
                <w:rFonts w:eastAsia="宋体" w:cs="Times New Roman"/>
                <w:szCs w:val="21"/>
              </w:rPr>
              <w:t>28</w:t>
            </w:r>
          </w:p>
        </w:tc>
        <w:tc>
          <w:tcPr>
            <w:tcW w:w="1001" w:type="pct"/>
            <w:vAlign w:val="center"/>
          </w:tcPr>
          <w:p w14:paraId="76E2067C">
            <w:pPr>
              <w:ind w:left="157" w:leftChars="-25" w:right="-53" w:rightChars="-25" w:hanging="210" w:hangingChars="100"/>
              <w:rPr>
                <w:rFonts w:eastAsia="宋体" w:cs="Times New Roman"/>
                <w:bCs/>
                <w:szCs w:val="21"/>
              </w:rPr>
            </w:pPr>
            <w:r>
              <w:rPr>
                <w:rFonts w:eastAsia="宋体" w:cs="Times New Roman"/>
                <w:bCs/>
                <w:szCs w:val="21"/>
              </w:rPr>
              <w:t>农业废弃物综合利用率</w:t>
            </w:r>
          </w:p>
          <w:p w14:paraId="581FB23D">
            <w:pPr>
              <w:ind w:left="157" w:leftChars="-25" w:right="-53" w:rightChars="-25" w:hanging="210" w:hangingChars="100"/>
              <w:rPr>
                <w:rFonts w:eastAsia="宋体" w:cs="Times New Roman"/>
                <w:bCs/>
                <w:szCs w:val="21"/>
              </w:rPr>
            </w:pPr>
            <w:r>
              <w:rPr>
                <w:rFonts w:eastAsia="宋体" w:cs="Times New Roman"/>
                <w:bCs/>
                <w:szCs w:val="21"/>
              </w:rPr>
              <w:t>秸秆综合利用率</w:t>
            </w:r>
          </w:p>
          <w:p w14:paraId="5305BD47">
            <w:pPr>
              <w:ind w:left="157" w:leftChars="-25" w:right="-53" w:rightChars="-25" w:hanging="210" w:hangingChars="100"/>
              <w:rPr>
                <w:rFonts w:eastAsia="宋体" w:cs="Times New Roman"/>
                <w:bCs/>
                <w:szCs w:val="21"/>
              </w:rPr>
            </w:pPr>
            <w:r>
              <w:rPr>
                <w:rFonts w:eastAsia="宋体" w:cs="Times New Roman"/>
                <w:bCs/>
                <w:szCs w:val="21"/>
              </w:rPr>
              <w:t>畜禽粪污综合利用率</w:t>
            </w:r>
          </w:p>
          <w:p w14:paraId="1E3B34F2">
            <w:pPr>
              <w:ind w:left="157" w:leftChars="-25" w:right="-53" w:rightChars="-25" w:hanging="210" w:hangingChars="100"/>
              <w:rPr>
                <w:rFonts w:eastAsia="宋体" w:cs="Times New Roman"/>
                <w:szCs w:val="21"/>
              </w:rPr>
            </w:pPr>
            <w:r>
              <w:rPr>
                <w:rFonts w:eastAsia="宋体" w:cs="Times New Roman"/>
                <w:bCs/>
                <w:szCs w:val="21"/>
              </w:rPr>
              <w:t>农膜回收利用率</w:t>
            </w:r>
          </w:p>
        </w:tc>
        <w:tc>
          <w:tcPr>
            <w:tcW w:w="222" w:type="pct"/>
            <w:vAlign w:val="center"/>
          </w:tcPr>
          <w:p w14:paraId="606AEDD2">
            <w:pPr>
              <w:ind w:left="-53" w:leftChars="-25" w:right="-53" w:rightChars="-25"/>
              <w:jc w:val="center"/>
              <w:rPr>
                <w:rFonts w:eastAsia="宋体" w:cs="Times New Roman"/>
                <w:szCs w:val="21"/>
              </w:rPr>
            </w:pPr>
            <w:r>
              <w:rPr>
                <w:rFonts w:eastAsia="宋体" w:cs="Times New Roman"/>
                <w:bCs/>
                <w:szCs w:val="21"/>
              </w:rPr>
              <w:t>%</w:t>
            </w:r>
          </w:p>
        </w:tc>
        <w:tc>
          <w:tcPr>
            <w:tcW w:w="433" w:type="pct"/>
            <w:vAlign w:val="center"/>
          </w:tcPr>
          <w:p w14:paraId="01327D31">
            <w:pPr>
              <w:ind w:left="-53" w:leftChars="-25" w:right="-53" w:rightChars="-25"/>
              <w:jc w:val="center"/>
              <w:rPr>
                <w:rFonts w:eastAsia="宋体" w:cs="Times New Roman"/>
                <w:bCs/>
                <w:szCs w:val="21"/>
              </w:rPr>
            </w:pPr>
          </w:p>
          <w:p w14:paraId="08F9637F">
            <w:pPr>
              <w:ind w:left="-53" w:leftChars="-25" w:right="-53" w:rightChars="-25"/>
              <w:jc w:val="center"/>
              <w:rPr>
                <w:rFonts w:eastAsia="宋体" w:cs="Times New Roman"/>
                <w:bCs/>
                <w:szCs w:val="21"/>
              </w:rPr>
            </w:pPr>
            <w:r>
              <w:rPr>
                <w:rFonts w:eastAsia="宋体" w:cs="Times New Roman"/>
                <w:bCs/>
                <w:szCs w:val="21"/>
              </w:rPr>
              <w:t>≥95</w:t>
            </w:r>
          </w:p>
          <w:p w14:paraId="626AB66F">
            <w:pPr>
              <w:ind w:left="-53" w:leftChars="-25" w:right="-53" w:rightChars="-25"/>
              <w:jc w:val="center"/>
              <w:rPr>
                <w:rFonts w:eastAsia="宋体" w:cs="Times New Roman"/>
                <w:bCs/>
                <w:szCs w:val="21"/>
              </w:rPr>
            </w:pPr>
            <w:r>
              <w:rPr>
                <w:rFonts w:eastAsia="宋体" w:cs="Times New Roman"/>
                <w:bCs/>
                <w:szCs w:val="21"/>
              </w:rPr>
              <w:t>≥85</w:t>
            </w:r>
          </w:p>
          <w:p w14:paraId="32E5A79D">
            <w:pPr>
              <w:ind w:left="-53" w:leftChars="-25" w:right="-53" w:rightChars="-25"/>
              <w:jc w:val="center"/>
              <w:rPr>
                <w:rFonts w:eastAsia="宋体" w:cs="Times New Roman"/>
                <w:szCs w:val="21"/>
              </w:rPr>
            </w:pPr>
            <w:r>
              <w:rPr>
                <w:rFonts w:eastAsia="宋体" w:cs="Times New Roman"/>
                <w:bCs/>
                <w:szCs w:val="21"/>
              </w:rPr>
              <w:t>≥90</w:t>
            </w:r>
          </w:p>
        </w:tc>
        <w:tc>
          <w:tcPr>
            <w:tcW w:w="473" w:type="pct"/>
            <w:vAlign w:val="center"/>
          </w:tcPr>
          <w:p w14:paraId="2F5C07C1">
            <w:pPr>
              <w:ind w:left="-53" w:leftChars="-25" w:right="-53" w:rightChars="-25"/>
              <w:jc w:val="center"/>
              <w:rPr>
                <w:rFonts w:eastAsia="宋体" w:cs="Times New Roman"/>
                <w:szCs w:val="21"/>
              </w:rPr>
            </w:pPr>
          </w:p>
          <w:p w14:paraId="78A24928">
            <w:pPr>
              <w:ind w:left="-53" w:leftChars="-25" w:right="-53" w:rightChars="-25"/>
              <w:jc w:val="center"/>
              <w:rPr>
                <w:rFonts w:eastAsia="宋体" w:cs="Times New Roman"/>
                <w:szCs w:val="21"/>
              </w:rPr>
            </w:pPr>
            <w:r>
              <w:rPr>
                <w:rFonts w:eastAsia="宋体" w:cs="Times New Roman"/>
                <w:szCs w:val="21"/>
              </w:rPr>
              <w:t>97</w:t>
            </w:r>
          </w:p>
          <w:p w14:paraId="04DD7FC4">
            <w:pPr>
              <w:ind w:left="-53" w:leftChars="-25" w:right="-53" w:rightChars="-25"/>
              <w:jc w:val="center"/>
              <w:rPr>
                <w:rFonts w:eastAsia="宋体" w:cs="Times New Roman"/>
                <w:szCs w:val="21"/>
              </w:rPr>
            </w:pPr>
            <w:r>
              <w:rPr>
                <w:rFonts w:eastAsia="宋体" w:cs="Times New Roman"/>
                <w:szCs w:val="21"/>
              </w:rPr>
              <w:t>90</w:t>
            </w:r>
          </w:p>
          <w:p w14:paraId="407B3BF9">
            <w:pPr>
              <w:ind w:left="-53" w:leftChars="-25" w:right="-53" w:rightChars="-25"/>
              <w:jc w:val="center"/>
              <w:rPr>
                <w:rFonts w:eastAsia="宋体" w:cs="Times New Roman"/>
                <w:szCs w:val="21"/>
              </w:rPr>
            </w:pPr>
            <w:r>
              <w:rPr>
                <w:rFonts w:eastAsia="宋体" w:cs="Times New Roman"/>
                <w:szCs w:val="21"/>
              </w:rPr>
              <w:t>95</w:t>
            </w:r>
          </w:p>
        </w:tc>
        <w:tc>
          <w:tcPr>
            <w:tcW w:w="564" w:type="pct"/>
            <w:vAlign w:val="center"/>
          </w:tcPr>
          <w:p w14:paraId="52B89B05">
            <w:pPr>
              <w:ind w:left="-53" w:leftChars="-25" w:right="-53" w:rightChars="-25"/>
              <w:jc w:val="center"/>
              <w:rPr>
                <w:rFonts w:eastAsia="宋体" w:cs="Times New Roman"/>
                <w:szCs w:val="21"/>
              </w:rPr>
            </w:pPr>
            <w:r>
              <w:rPr>
                <w:rFonts w:eastAsia="宋体" w:cs="Times New Roman"/>
                <w:bCs/>
                <w:szCs w:val="21"/>
              </w:rPr>
              <w:t>达标</w:t>
            </w:r>
          </w:p>
        </w:tc>
        <w:tc>
          <w:tcPr>
            <w:tcW w:w="483" w:type="pct"/>
            <w:vAlign w:val="center"/>
          </w:tcPr>
          <w:p w14:paraId="0F1FE74F">
            <w:pPr>
              <w:ind w:left="-53" w:leftChars="-25" w:right="-53" w:rightChars="-25" w:firstLine="420"/>
              <w:rPr>
                <w:rFonts w:eastAsia="宋体" w:cs="Times New Roman"/>
                <w:szCs w:val="21"/>
              </w:rPr>
            </w:pPr>
          </w:p>
          <w:p w14:paraId="55F98908">
            <w:pPr>
              <w:ind w:left="-53" w:leftChars="-25" w:right="-53" w:rightChars="-25"/>
              <w:jc w:val="center"/>
              <w:rPr>
                <w:rFonts w:eastAsia="宋体" w:cs="Times New Roman"/>
                <w:bCs/>
                <w:szCs w:val="21"/>
              </w:rPr>
            </w:pPr>
            <w:r>
              <w:rPr>
                <w:rFonts w:eastAsia="宋体" w:cs="Times New Roman"/>
                <w:bCs/>
                <w:szCs w:val="21"/>
              </w:rPr>
              <w:t>≥97</w:t>
            </w:r>
          </w:p>
          <w:p w14:paraId="610ACEBF">
            <w:pPr>
              <w:ind w:left="-53" w:leftChars="-25" w:right="-53" w:rightChars="-25"/>
              <w:jc w:val="center"/>
              <w:rPr>
                <w:rFonts w:eastAsia="宋体" w:cs="Times New Roman"/>
                <w:bCs/>
                <w:szCs w:val="21"/>
              </w:rPr>
            </w:pPr>
            <w:r>
              <w:rPr>
                <w:rFonts w:eastAsia="宋体" w:cs="Times New Roman"/>
                <w:bCs/>
                <w:szCs w:val="21"/>
              </w:rPr>
              <w:t>≥90</w:t>
            </w:r>
          </w:p>
          <w:p w14:paraId="76AA633B">
            <w:pPr>
              <w:ind w:left="-53" w:leftChars="-25" w:right="-53" w:rightChars="-25"/>
              <w:jc w:val="center"/>
              <w:rPr>
                <w:rFonts w:eastAsia="宋体" w:cs="Times New Roman"/>
                <w:bCs/>
                <w:szCs w:val="21"/>
              </w:rPr>
            </w:pPr>
            <w:r>
              <w:rPr>
                <w:rFonts w:eastAsia="宋体" w:cs="Times New Roman"/>
                <w:bCs/>
                <w:szCs w:val="21"/>
              </w:rPr>
              <w:t>≥95</w:t>
            </w:r>
          </w:p>
        </w:tc>
        <w:tc>
          <w:tcPr>
            <w:tcW w:w="479" w:type="pct"/>
            <w:vAlign w:val="center"/>
          </w:tcPr>
          <w:p w14:paraId="01ADB337">
            <w:pPr>
              <w:ind w:left="-53" w:leftChars="-25" w:right="-53" w:rightChars="-25" w:firstLine="420"/>
              <w:rPr>
                <w:rFonts w:eastAsia="宋体" w:cs="Times New Roman"/>
                <w:szCs w:val="21"/>
              </w:rPr>
            </w:pPr>
          </w:p>
          <w:p w14:paraId="7FC1044B">
            <w:pPr>
              <w:ind w:left="-53" w:leftChars="-25" w:right="-53" w:rightChars="-25"/>
              <w:jc w:val="center"/>
              <w:rPr>
                <w:rFonts w:eastAsia="宋体" w:cs="Times New Roman"/>
                <w:bCs/>
                <w:szCs w:val="21"/>
              </w:rPr>
            </w:pPr>
            <w:r>
              <w:rPr>
                <w:rFonts w:eastAsia="宋体" w:cs="Times New Roman"/>
                <w:bCs/>
                <w:szCs w:val="21"/>
              </w:rPr>
              <w:t>≥98</w:t>
            </w:r>
          </w:p>
          <w:p w14:paraId="2ACE9DBF">
            <w:pPr>
              <w:ind w:left="-53" w:leftChars="-25" w:right="-53" w:rightChars="-25"/>
              <w:jc w:val="center"/>
              <w:rPr>
                <w:rFonts w:eastAsia="宋体" w:cs="Times New Roman"/>
                <w:bCs/>
                <w:szCs w:val="21"/>
              </w:rPr>
            </w:pPr>
            <w:r>
              <w:rPr>
                <w:rFonts w:eastAsia="宋体" w:cs="Times New Roman"/>
                <w:bCs/>
                <w:szCs w:val="21"/>
              </w:rPr>
              <w:t>≥9</w:t>
            </w:r>
            <w:r>
              <w:rPr>
                <w:rFonts w:hint="eastAsia" w:eastAsia="宋体" w:cs="Times New Roman"/>
                <w:bCs/>
                <w:szCs w:val="21"/>
              </w:rPr>
              <w:t>4</w:t>
            </w:r>
          </w:p>
          <w:p w14:paraId="5386738A">
            <w:pPr>
              <w:ind w:left="-53" w:leftChars="-25" w:right="-53" w:rightChars="-25"/>
              <w:jc w:val="center"/>
              <w:rPr>
                <w:rFonts w:eastAsia="宋体" w:cs="Times New Roman"/>
                <w:bCs/>
                <w:szCs w:val="21"/>
              </w:rPr>
            </w:pPr>
            <w:r>
              <w:rPr>
                <w:rFonts w:eastAsia="宋体" w:cs="Times New Roman"/>
                <w:bCs/>
                <w:szCs w:val="21"/>
              </w:rPr>
              <w:t>≥9</w:t>
            </w:r>
            <w:r>
              <w:rPr>
                <w:rFonts w:hint="eastAsia" w:eastAsia="宋体" w:cs="Times New Roman"/>
                <w:bCs/>
                <w:szCs w:val="21"/>
              </w:rPr>
              <w:t>6</w:t>
            </w:r>
          </w:p>
        </w:tc>
        <w:tc>
          <w:tcPr>
            <w:tcW w:w="465" w:type="pct"/>
            <w:vAlign w:val="center"/>
          </w:tcPr>
          <w:p w14:paraId="680B5617">
            <w:pPr>
              <w:ind w:left="-53" w:leftChars="-25" w:right="-53" w:rightChars="-25"/>
              <w:jc w:val="center"/>
              <w:rPr>
                <w:rFonts w:eastAsia="宋体" w:cs="Times New Roman"/>
                <w:bCs/>
                <w:szCs w:val="21"/>
              </w:rPr>
            </w:pPr>
          </w:p>
          <w:p w14:paraId="15F28BD9">
            <w:pPr>
              <w:ind w:left="-53" w:leftChars="-25" w:right="-53" w:rightChars="-25"/>
              <w:jc w:val="center"/>
              <w:rPr>
                <w:rFonts w:eastAsia="宋体" w:cs="Times New Roman"/>
                <w:bCs/>
                <w:szCs w:val="21"/>
              </w:rPr>
            </w:pPr>
            <w:r>
              <w:rPr>
                <w:rFonts w:eastAsia="宋体" w:cs="Times New Roman"/>
                <w:bCs/>
                <w:szCs w:val="21"/>
              </w:rPr>
              <w:t>≥98</w:t>
            </w:r>
          </w:p>
          <w:p w14:paraId="14EBAEFE">
            <w:pPr>
              <w:ind w:left="-53" w:leftChars="-25" w:right="-53" w:rightChars="-25"/>
              <w:jc w:val="center"/>
              <w:rPr>
                <w:rFonts w:eastAsia="宋体" w:cs="Times New Roman"/>
                <w:bCs/>
                <w:szCs w:val="21"/>
              </w:rPr>
            </w:pPr>
            <w:r>
              <w:rPr>
                <w:rFonts w:eastAsia="宋体" w:cs="Times New Roman"/>
                <w:bCs/>
                <w:szCs w:val="21"/>
              </w:rPr>
              <w:t>≥9</w:t>
            </w:r>
            <w:r>
              <w:rPr>
                <w:rFonts w:hint="eastAsia" w:eastAsia="宋体" w:cs="Times New Roman"/>
                <w:bCs/>
                <w:szCs w:val="21"/>
              </w:rPr>
              <w:t>8</w:t>
            </w:r>
          </w:p>
          <w:p w14:paraId="30A511BA">
            <w:pPr>
              <w:ind w:left="-53" w:leftChars="-25" w:right="-53" w:rightChars="-25"/>
              <w:jc w:val="center"/>
              <w:rPr>
                <w:rFonts w:eastAsia="宋体" w:cs="Times New Roman"/>
                <w:bCs/>
                <w:szCs w:val="21"/>
              </w:rPr>
            </w:pPr>
            <w:r>
              <w:rPr>
                <w:rFonts w:eastAsia="宋体" w:cs="Times New Roman"/>
                <w:bCs/>
                <w:szCs w:val="21"/>
              </w:rPr>
              <w:t>≥9</w:t>
            </w:r>
            <w:r>
              <w:rPr>
                <w:rFonts w:hint="eastAsia" w:eastAsia="宋体" w:cs="Times New Roman"/>
                <w:bCs/>
                <w:szCs w:val="21"/>
              </w:rPr>
              <w:t>7</w:t>
            </w:r>
          </w:p>
        </w:tc>
        <w:tc>
          <w:tcPr>
            <w:tcW w:w="299" w:type="pct"/>
            <w:vAlign w:val="center"/>
          </w:tcPr>
          <w:p w14:paraId="47A5E30A">
            <w:pPr>
              <w:ind w:left="-53" w:leftChars="-25" w:right="-53" w:rightChars="-25"/>
              <w:jc w:val="center"/>
              <w:rPr>
                <w:rFonts w:eastAsia="宋体" w:cs="Times New Roman"/>
                <w:szCs w:val="21"/>
              </w:rPr>
            </w:pPr>
            <w:r>
              <w:rPr>
                <w:rFonts w:eastAsia="宋体" w:cs="Times New Roman"/>
                <w:bCs/>
                <w:szCs w:val="21"/>
              </w:rPr>
              <w:t>参考性</w:t>
            </w:r>
          </w:p>
        </w:tc>
      </w:tr>
      <w:tr w14:paraId="365221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4" w:type="pct"/>
            <w:vMerge w:val="continue"/>
            <w:vAlign w:val="center"/>
          </w:tcPr>
          <w:p w14:paraId="25285D3D">
            <w:pPr>
              <w:ind w:left="-53" w:leftChars="-25" w:right="-53" w:rightChars="-25"/>
              <w:jc w:val="center"/>
              <w:rPr>
                <w:rFonts w:eastAsia="宋体" w:cs="Times New Roman"/>
                <w:szCs w:val="21"/>
              </w:rPr>
            </w:pPr>
          </w:p>
        </w:tc>
        <w:tc>
          <w:tcPr>
            <w:tcW w:w="260" w:type="pct"/>
            <w:vMerge w:val="continue"/>
            <w:vAlign w:val="center"/>
          </w:tcPr>
          <w:p w14:paraId="188DAA87">
            <w:pPr>
              <w:ind w:left="-53" w:leftChars="-25" w:right="-53" w:rightChars="-25"/>
              <w:rPr>
                <w:rFonts w:eastAsia="宋体" w:cs="Times New Roman"/>
                <w:bCs/>
                <w:szCs w:val="21"/>
              </w:rPr>
            </w:pPr>
          </w:p>
        </w:tc>
        <w:tc>
          <w:tcPr>
            <w:tcW w:w="162" w:type="pct"/>
            <w:vAlign w:val="center"/>
          </w:tcPr>
          <w:p w14:paraId="0DD3CDD2">
            <w:pPr>
              <w:ind w:left="-53" w:leftChars="-25" w:right="-53" w:rightChars="-25"/>
              <w:jc w:val="center"/>
              <w:rPr>
                <w:rFonts w:eastAsia="宋体" w:cs="Times New Roman"/>
                <w:szCs w:val="21"/>
              </w:rPr>
            </w:pPr>
            <w:r>
              <w:rPr>
                <w:rFonts w:eastAsia="宋体" w:cs="Times New Roman"/>
                <w:szCs w:val="21"/>
              </w:rPr>
              <w:t>29</w:t>
            </w:r>
          </w:p>
        </w:tc>
        <w:tc>
          <w:tcPr>
            <w:tcW w:w="1001" w:type="pct"/>
            <w:vAlign w:val="center"/>
          </w:tcPr>
          <w:p w14:paraId="118B9D6D">
            <w:pPr>
              <w:ind w:left="-53" w:leftChars="-25" w:right="-53" w:rightChars="-25"/>
              <w:rPr>
                <w:rFonts w:eastAsia="宋体" w:cs="Times New Roman"/>
                <w:bCs/>
                <w:szCs w:val="21"/>
              </w:rPr>
            </w:pPr>
            <w:r>
              <w:rPr>
                <w:rFonts w:eastAsia="宋体" w:cs="Times New Roman"/>
                <w:bCs/>
                <w:szCs w:val="21"/>
              </w:rPr>
              <w:t>一般工业固体废物处置利用率</w:t>
            </w:r>
          </w:p>
        </w:tc>
        <w:tc>
          <w:tcPr>
            <w:tcW w:w="222" w:type="pct"/>
            <w:vAlign w:val="center"/>
          </w:tcPr>
          <w:p w14:paraId="3423118D">
            <w:pPr>
              <w:ind w:left="-53" w:leftChars="-25" w:right="-53" w:rightChars="-25"/>
              <w:jc w:val="center"/>
              <w:rPr>
                <w:rFonts w:eastAsia="宋体" w:cs="Times New Roman"/>
                <w:bCs/>
                <w:szCs w:val="21"/>
              </w:rPr>
            </w:pPr>
            <w:r>
              <w:rPr>
                <w:rFonts w:eastAsia="宋体" w:cs="Times New Roman"/>
                <w:bCs/>
                <w:szCs w:val="21"/>
              </w:rPr>
              <w:t>%</w:t>
            </w:r>
          </w:p>
        </w:tc>
        <w:tc>
          <w:tcPr>
            <w:tcW w:w="433" w:type="pct"/>
            <w:vAlign w:val="center"/>
          </w:tcPr>
          <w:p w14:paraId="4065157B">
            <w:pPr>
              <w:ind w:left="-53" w:leftChars="-25" w:right="-53" w:rightChars="-25"/>
              <w:jc w:val="center"/>
              <w:rPr>
                <w:rFonts w:eastAsia="宋体" w:cs="Times New Roman"/>
                <w:bCs/>
                <w:szCs w:val="21"/>
              </w:rPr>
            </w:pPr>
            <w:r>
              <w:rPr>
                <w:rFonts w:eastAsia="宋体" w:cs="Times New Roman"/>
                <w:bCs/>
                <w:szCs w:val="21"/>
              </w:rPr>
              <w:t>≥90</w:t>
            </w:r>
          </w:p>
        </w:tc>
        <w:tc>
          <w:tcPr>
            <w:tcW w:w="473" w:type="pct"/>
            <w:vAlign w:val="center"/>
          </w:tcPr>
          <w:p w14:paraId="00F5DF90">
            <w:pPr>
              <w:ind w:left="-53" w:leftChars="-25" w:right="-53" w:rightChars="-25"/>
              <w:jc w:val="center"/>
              <w:rPr>
                <w:rFonts w:eastAsia="宋体" w:cs="Times New Roman"/>
                <w:szCs w:val="21"/>
              </w:rPr>
            </w:pPr>
            <w:r>
              <w:rPr>
                <w:rFonts w:eastAsia="宋体" w:cs="Times New Roman"/>
                <w:szCs w:val="21"/>
              </w:rPr>
              <w:t>100</w:t>
            </w:r>
          </w:p>
        </w:tc>
        <w:tc>
          <w:tcPr>
            <w:tcW w:w="564" w:type="pct"/>
            <w:vAlign w:val="center"/>
          </w:tcPr>
          <w:p w14:paraId="738E3C8D">
            <w:pPr>
              <w:ind w:left="-53" w:leftChars="-25" w:right="-53" w:rightChars="-25"/>
              <w:jc w:val="center"/>
              <w:rPr>
                <w:rFonts w:eastAsia="宋体" w:cs="Times New Roman"/>
                <w:bCs/>
                <w:szCs w:val="21"/>
              </w:rPr>
            </w:pPr>
            <w:r>
              <w:rPr>
                <w:rFonts w:eastAsia="宋体" w:cs="Times New Roman"/>
                <w:bCs/>
                <w:szCs w:val="21"/>
              </w:rPr>
              <w:t>已完成</w:t>
            </w:r>
          </w:p>
        </w:tc>
        <w:tc>
          <w:tcPr>
            <w:tcW w:w="483" w:type="pct"/>
            <w:vAlign w:val="center"/>
          </w:tcPr>
          <w:p w14:paraId="32B5D1A1">
            <w:pPr>
              <w:ind w:left="-53" w:leftChars="-25" w:right="-53" w:rightChars="-25"/>
              <w:jc w:val="center"/>
              <w:rPr>
                <w:rFonts w:eastAsia="宋体" w:cs="Times New Roman"/>
                <w:bCs/>
                <w:szCs w:val="21"/>
              </w:rPr>
            </w:pPr>
            <w:r>
              <w:rPr>
                <w:rFonts w:eastAsia="宋体" w:cs="Times New Roman"/>
                <w:bCs/>
                <w:szCs w:val="21"/>
              </w:rPr>
              <w:t>100</w:t>
            </w:r>
          </w:p>
        </w:tc>
        <w:tc>
          <w:tcPr>
            <w:tcW w:w="479" w:type="pct"/>
            <w:vAlign w:val="center"/>
          </w:tcPr>
          <w:p w14:paraId="0437DBCB">
            <w:pPr>
              <w:ind w:left="-53" w:leftChars="-25" w:right="-53" w:rightChars="-25"/>
              <w:jc w:val="center"/>
              <w:rPr>
                <w:rFonts w:eastAsia="宋体" w:cs="Times New Roman"/>
                <w:bCs/>
                <w:szCs w:val="21"/>
              </w:rPr>
            </w:pPr>
            <w:r>
              <w:rPr>
                <w:rFonts w:eastAsia="宋体" w:cs="Times New Roman"/>
                <w:bCs/>
                <w:szCs w:val="21"/>
              </w:rPr>
              <w:t>100</w:t>
            </w:r>
          </w:p>
        </w:tc>
        <w:tc>
          <w:tcPr>
            <w:tcW w:w="465" w:type="pct"/>
            <w:vAlign w:val="center"/>
          </w:tcPr>
          <w:p w14:paraId="6DF7A71A">
            <w:pPr>
              <w:ind w:left="-53" w:leftChars="-25" w:right="-53" w:rightChars="-25"/>
              <w:jc w:val="center"/>
              <w:rPr>
                <w:rFonts w:eastAsia="宋体" w:cs="Times New Roman"/>
                <w:bCs/>
                <w:szCs w:val="21"/>
              </w:rPr>
            </w:pPr>
            <w:r>
              <w:rPr>
                <w:rFonts w:eastAsia="宋体" w:cs="Times New Roman"/>
                <w:bCs/>
                <w:szCs w:val="21"/>
              </w:rPr>
              <w:t>100</w:t>
            </w:r>
          </w:p>
        </w:tc>
        <w:tc>
          <w:tcPr>
            <w:tcW w:w="299" w:type="pct"/>
            <w:vAlign w:val="center"/>
          </w:tcPr>
          <w:p w14:paraId="50D27EAA">
            <w:pPr>
              <w:ind w:left="-53" w:leftChars="-25" w:right="-53" w:rightChars="-25"/>
              <w:jc w:val="center"/>
              <w:rPr>
                <w:rFonts w:eastAsia="宋体" w:cs="Times New Roman"/>
                <w:bCs/>
                <w:szCs w:val="21"/>
              </w:rPr>
            </w:pPr>
            <w:r>
              <w:rPr>
                <w:rFonts w:eastAsia="宋体" w:cs="Times New Roman"/>
                <w:bCs/>
                <w:szCs w:val="21"/>
              </w:rPr>
              <w:t>参考性</w:t>
            </w:r>
          </w:p>
        </w:tc>
      </w:tr>
      <w:tr w14:paraId="79DE04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4" w:type="pct"/>
            <w:vMerge w:val="restart"/>
            <w:vAlign w:val="center"/>
          </w:tcPr>
          <w:p w14:paraId="07CC4753">
            <w:pPr>
              <w:ind w:left="-53" w:leftChars="-25" w:right="-53" w:rightChars="-25"/>
              <w:jc w:val="center"/>
              <w:rPr>
                <w:rFonts w:eastAsia="宋体" w:cs="Times New Roman"/>
                <w:szCs w:val="21"/>
              </w:rPr>
            </w:pPr>
            <w:r>
              <w:rPr>
                <w:rFonts w:eastAsia="宋体" w:cs="Times New Roman"/>
                <w:bCs/>
                <w:szCs w:val="21"/>
              </w:rPr>
              <w:t>生态生活</w:t>
            </w:r>
          </w:p>
          <w:p w14:paraId="42D8F812">
            <w:pPr>
              <w:ind w:left="-53" w:leftChars="-25" w:right="-53" w:rightChars="-25"/>
              <w:jc w:val="center"/>
              <w:rPr>
                <w:rFonts w:eastAsia="宋体" w:cs="Times New Roman"/>
                <w:szCs w:val="21"/>
              </w:rPr>
            </w:pPr>
          </w:p>
        </w:tc>
        <w:tc>
          <w:tcPr>
            <w:tcW w:w="260" w:type="pct"/>
            <w:vMerge w:val="restart"/>
            <w:vAlign w:val="center"/>
          </w:tcPr>
          <w:p w14:paraId="18B197DE">
            <w:pPr>
              <w:ind w:left="-53" w:leftChars="-25" w:right="-53" w:rightChars="-25"/>
              <w:rPr>
                <w:rFonts w:eastAsia="宋体" w:cs="Times New Roman"/>
                <w:szCs w:val="21"/>
              </w:rPr>
            </w:pPr>
            <w:r>
              <w:rPr>
                <w:rFonts w:eastAsia="宋体" w:cs="Times New Roman"/>
                <w:bCs/>
                <w:szCs w:val="21"/>
              </w:rPr>
              <w:t>（八）人居环境改善</w:t>
            </w:r>
          </w:p>
        </w:tc>
        <w:tc>
          <w:tcPr>
            <w:tcW w:w="162" w:type="pct"/>
            <w:vAlign w:val="center"/>
          </w:tcPr>
          <w:p w14:paraId="701BE481">
            <w:pPr>
              <w:ind w:left="-53" w:leftChars="-25" w:right="-53" w:rightChars="-25"/>
              <w:jc w:val="center"/>
              <w:rPr>
                <w:rFonts w:eastAsia="宋体" w:cs="Times New Roman"/>
                <w:szCs w:val="21"/>
              </w:rPr>
            </w:pPr>
            <w:r>
              <w:rPr>
                <w:rFonts w:eastAsia="宋体" w:cs="Times New Roman"/>
                <w:szCs w:val="21"/>
              </w:rPr>
              <w:t>30</w:t>
            </w:r>
          </w:p>
        </w:tc>
        <w:tc>
          <w:tcPr>
            <w:tcW w:w="1001" w:type="pct"/>
            <w:vAlign w:val="center"/>
          </w:tcPr>
          <w:p w14:paraId="791A264A">
            <w:pPr>
              <w:ind w:left="-53" w:leftChars="-25" w:right="-53" w:rightChars="-25"/>
              <w:rPr>
                <w:rFonts w:eastAsia="宋体" w:cs="Times New Roman"/>
                <w:szCs w:val="21"/>
              </w:rPr>
            </w:pPr>
            <w:r>
              <w:rPr>
                <w:rFonts w:eastAsia="宋体" w:cs="Times New Roman"/>
                <w:bCs/>
                <w:szCs w:val="21"/>
              </w:rPr>
              <w:t>集中式饮用水水源地水质优良比例</w:t>
            </w:r>
          </w:p>
        </w:tc>
        <w:tc>
          <w:tcPr>
            <w:tcW w:w="222" w:type="pct"/>
            <w:vAlign w:val="center"/>
          </w:tcPr>
          <w:p w14:paraId="7B3BE7C7">
            <w:pPr>
              <w:ind w:left="-53" w:leftChars="-25" w:right="-53" w:rightChars="-25"/>
              <w:jc w:val="center"/>
              <w:rPr>
                <w:rFonts w:eastAsia="宋体" w:cs="Times New Roman"/>
                <w:szCs w:val="21"/>
              </w:rPr>
            </w:pPr>
            <w:r>
              <w:rPr>
                <w:rFonts w:eastAsia="宋体" w:cs="Times New Roman"/>
                <w:bCs/>
                <w:szCs w:val="21"/>
              </w:rPr>
              <w:t>%</w:t>
            </w:r>
          </w:p>
        </w:tc>
        <w:tc>
          <w:tcPr>
            <w:tcW w:w="433" w:type="pct"/>
            <w:vAlign w:val="center"/>
          </w:tcPr>
          <w:p w14:paraId="4437CA15">
            <w:pPr>
              <w:ind w:left="-53" w:leftChars="-25" w:right="-53" w:rightChars="-25"/>
              <w:jc w:val="center"/>
              <w:rPr>
                <w:rFonts w:eastAsia="宋体" w:cs="Times New Roman"/>
                <w:szCs w:val="21"/>
              </w:rPr>
            </w:pPr>
            <w:r>
              <w:rPr>
                <w:rFonts w:eastAsia="宋体" w:cs="Times New Roman"/>
                <w:szCs w:val="21"/>
              </w:rPr>
              <w:t>100</w:t>
            </w:r>
          </w:p>
        </w:tc>
        <w:tc>
          <w:tcPr>
            <w:tcW w:w="473" w:type="pct"/>
            <w:vAlign w:val="center"/>
          </w:tcPr>
          <w:p w14:paraId="2B506D29">
            <w:pPr>
              <w:ind w:left="-53" w:leftChars="-25" w:right="-53" w:rightChars="-25"/>
              <w:jc w:val="center"/>
              <w:rPr>
                <w:rFonts w:eastAsia="宋体" w:cs="Times New Roman"/>
                <w:szCs w:val="21"/>
              </w:rPr>
            </w:pPr>
            <w:r>
              <w:rPr>
                <w:rFonts w:eastAsia="宋体" w:cs="Times New Roman"/>
                <w:szCs w:val="21"/>
              </w:rPr>
              <w:t>100</w:t>
            </w:r>
          </w:p>
        </w:tc>
        <w:tc>
          <w:tcPr>
            <w:tcW w:w="564" w:type="pct"/>
            <w:vAlign w:val="center"/>
          </w:tcPr>
          <w:p w14:paraId="47787617">
            <w:pPr>
              <w:ind w:left="-53" w:leftChars="-25" w:right="-53" w:rightChars="-25"/>
              <w:jc w:val="center"/>
              <w:rPr>
                <w:rFonts w:eastAsia="宋体" w:cs="Times New Roman"/>
                <w:szCs w:val="21"/>
              </w:rPr>
            </w:pPr>
            <w:r>
              <w:rPr>
                <w:rFonts w:eastAsia="宋体" w:cs="Times New Roman"/>
                <w:bCs/>
                <w:szCs w:val="21"/>
              </w:rPr>
              <w:t>已完成</w:t>
            </w:r>
          </w:p>
        </w:tc>
        <w:tc>
          <w:tcPr>
            <w:tcW w:w="483" w:type="pct"/>
            <w:vAlign w:val="center"/>
          </w:tcPr>
          <w:p w14:paraId="73573309">
            <w:pPr>
              <w:ind w:left="-53" w:leftChars="-25" w:right="-53" w:rightChars="-25"/>
              <w:jc w:val="center"/>
              <w:rPr>
                <w:rFonts w:eastAsia="宋体" w:cs="Times New Roman"/>
                <w:bCs/>
                <w:szCs w:val="21"/>
              </w:rPr>
            </w:pPr>
            <w:r>
              <w:rPr>
                <w:rFonts w:eastAsia="宋体" w:cs="Times New Roman"/>
                <w:bCs/>
                <w:szCs w:val="21"/>
              </w:rPr>
              <w:t>100</w:t>
            </w:r>
          </w:p>
        </w:tc>
        <w:tc>
          <w:tcPr>
            <w:tcW w:w="479" w:type="pct"/>
            <w:vAlign w:val="center"/>
          </w:tcPr>
          <w:p w14:paraId="734DC293">
            <w:pPr>
              <w:ind w:left="-53" w:leftChars="-25" w:right="-53" w:rightChars="-25"/>
              <w:jc w:val="center"/>
              <w:rPr>
                <w:rFonts w:eastAsia="宋体" w:cs="Times New Roman"/>
                <w:bCs/>
                <w:szCs w:val="21"/>
              </w:rPr>
            </w:pPr>
            <w:r>
              <w:rPr>
                <w:rFonts w:eastAsia="宋体" w:cs="Times New Roman"/>
                <w:bCs/>
                <w:szCs w:val="21"/>
              </w:rPr>
              <w:t>100</w:t>
            </w:r>
          </w:p>
        </w:tc>
        <w:tc>
          <w:tcPr>
            <w:tcW w:w="465" w:type="pct"/>
            <w:vAlign w:val="center"/>
          </w:tcPr>
          <w:p w14:paraId="092E673C">
            <w:pPr>
              <w:ind w:left="-53" w:leftChars="-25" w:right="-53" w:rightChars="-25"/>
              <w:jc w:val="center"/>
              <w:rPr>
                <w:rFonts w:eastAsia="宋体" w:cs="Times New Roman"/>
                <w:bCs/>
                <w:szCs w:val="21"/>
              </w:rPr>
            </w:pPr>
            <w:r>
              <w:rPr>
                <w:rFonts w:eastAsia="宋体" w:cs="Times New Roman"/>
                <w:bCs/>
                <w:szCs w:val="21"/>
              </w:rPr>
              <w:t>100</w:t>
            </w:r>
          </w:p>
        </w:tc>
        <w:tc>
          <w:tcPr>
            <w:tcW w:w="299" w:type="pct"/>
            <w:vAlign w:val="center"/>
          </w:tcPr>
          <w:p w14:paraId="543B1694">
            <w:pPr>
              <w:ind w:left="-53" w:leftChars="-25" w:right="-53" w:rightChars="-25"/>
              <w:jc w:val="center"/>
              <w:rPr>
                <w:rFonts w:eastAsia="宋体" w:cs="Times New Roman"/>
                <w:szCs w:val="21"/>
              </w:rPr>
            </w:pPr>
            <w:r>
              <w:rPr>
                <w:rFonts w:eastAsia="宋体" w:cs="Times New Roman"/>
                <w:bCs/>
                <w:szCs w:val="21"/>
              </w:rPr>
              <w:t>约束性</w:t>
            </w:r>
          </w:p>
        </w:tc>
      </w:tr>
      <w:tr w14:paraId="2AE0D5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4" w:type="pct"/>
            <w:vMerge w:val="continue"/>
            <w:vAlign w:val="center"/>
          </w:tcPr>
          <w:p w14:paraId="556FFE25">
            <w:pPr>
              <w:ind w:left="-53" w:leftChars="-25" w:right="-53" w:rightChars="-25"/>
              <w:jc w:val="center"/>
              <w:rPr>
                <w:rFonts w:eastAsia="宋体" w:cs="Times New Roman"/>
                <w:szCs w:val="21"/>
              </w:rPr>
            </w:pPr>
          </w:p>
        </w:tc>
        <w:tc>
          <w:tcPr>
            <w:tcW w:w="260" w:type="pct"/>
            <w:vMerge w:val="continue"/>
            <w:vAlign w:val="center"/>
          </w:tcPr>
          <w:p w14:paraId="4475A9A2">
            <w:pPr>
              <w:ind w:left="-53" w:leftChars="-25" w:right="-53" w:rightChars="-25"/>
              <w:rPr>
                <w:rFonts w:eastAsia="宋体" w:cs="Times New Roman"/>
                <w:szCs w:val="21"/>
              </w:rPr>
            </w:pPr>
          </w:p>
        </w:tc>
        <w:tc>
          <w:tcPr>
            <w:tcW w:w="162" w:type="pct"/>
            <w:vAlign w:val="center"/>
          </w:tcPr>
          <w:p w14:paraId="70F97DAC">
            <w:pPr>
              <w:ind w:left="-53" w:leftChars="-25" w:right="-53" w:rightChars="-25"/>
              <w:jc w:val="center"/>
              <w:rPr>
                <w:rFonts w:eastAsia="宋体" w:cs="Times New Roman"/>
                <w:szCs w:val="21"/>
              </w:rPr>
            </w:pPr>
            <w:r>
              <w:rPr>
                <w:rFonts w:eastAsia="宋体" w:cs="Times New Roman"/>
                <w:szCs w:val="21"/>
              </w:rPr>
              <w:t>31</w:t>
            </w:r>
          </w:p>
        </w:tc>
        <w:tc>
          <w:tcPr>
            <w:tcW w:w="1001" w:type="pct"/>
            <w:vAlign w:val="center"/>
          </w:tcPr>
          <w:p w14:paraId="2E5716D0">
            <w:pPr>
              <w:ind w:left="-53" w:leftChars="-25" w:right="-53" w:rightChars="-25"/>
              <w:rPr>
                <w:rFonts w:eastAsia="宋体" w:cs="Times New Roman"/>
                <w:szCs w:val="21"/>
              </w:rPr>
            </w:pPr>
            <w:r>
              <w:rPr>
                <w:rFonts w:eastAsia="宋体" w:cs="Times New Roman"/>
                <w:bCs/>
                <w:szCs w:val="21"/>
              </w:rPr>
              <w:t>村镇饮用水卫生合格率</w:t>
            </w:r>
          </w:p>
        </w:tc>
        <w:tc>
          <w:tcPr>
            <w:tcW w:w="222" w:type="pct"/>
            <w:vAlign w:val="center"/>
          </w:tcPr>
          <w:p w14:paraId="5E12EF9E">
            <w:pPr>
              <w:ind w:left="-53" w:leftChars="-25" w:right="-53" w:rightChars="-25"/>
              <w:jc w:val="center"/>
              <w:rPr>
                <w:rFonts w:eastAsia="宋体" w:cs="Times New Roman"/>
                <w:szCs w:val="21"/>
              </w:rPr>
            </w:pPr>
            <w:r>
              <w:rPr>
                <w:rFonts w:eastAsia="宋体" w:cs="Times New Roman"/>
                <w:szCs w:val="21"/>
              </w:rPr>
              <w:t>%</w:t>
            </w:r>
          </w:p>
        </w:tc>
        <w:tc>
          <w:tcPr>
            <w:tcW w:w="433" w:type="pct"/>
            <w:vAlign w:val="center"/>
          </w:tcPr>
          <w:p w14:paraId="177F7A3C">
            <w:pPr>
              <w:ind w:left="-53" w:leftChars="-25" w:right="-53" w:rightChars="-25"/>
              <w:jc w:val="center"/>
              <w:rPr>
                <w:rFonts w:eastAsia="宋体" w:cs="Times New Roman"/>
                <w:szCs w:val="21"/>
              </w:rPr>
            </w:pPr>
            <w:r>
              <w:rPr>
                <w:rFonts w:eastAsia="宋体" w:cs="Times New Roman"/>
                <w:bCs/>
                <w:szCs w:val="21"/>
              </w:rPr>
              <w:t>100</w:t>
            </w:r>
          </w:p>
        </w:tc>
        <w:tc>
          <w:tcPr>
            <w:tcW w:w="473" w:type="pct"/>
            <w:vAlign w:val="center"/>
          </w:tcPr>
          <w:p w14:paraId="1081109D">
            <w:pPr>
              <w:ind w:left="-53" w:leftChars="-25" w:right="-53" w:rightChars="-25"/>
              <w:jc w:val="center"/>
              <w:rPr>
                <w:rFonts w:eastAsia="宋体" w:cs="Times New Roman"/>
                <w:szCs w:val="21"/>
              </w:rPr>
            </w:pPr>
            <w:r>
              <w:rPr>
                <w:rFonts w:eastAsia="宋体" w:cs="Times New Roman"/>
                <w:bCs/>
                <w:szCs w:val="21"/>
              </w:rPr>
              <w:t>100</w:t>
            </w:r>
          </w:p>
        </w:tc>
        <w:tc>
          <w:tcPr>
            <w:tcW w:w="564" w:type="pct"/>
            <w:vAlign w:val="center"/>
          </w:tcPr>
          <w:p w14:paraId="42670F15">
            <w:pPr>
              <w:ind w:left="-53" w:leftChars="-25" w:right="-53" w:rightChars="-25"/>
              <w:jc w:val="center"/>
              <w:rPr>
                <w:rFonts w:eastAsia="宋体" w:cs="Times New Roman"/>
                <w:b/>
                <w:szCs w:val="21"/>
              </w:rPr>
            </w:pPr>
            <w:r>
              <w:rPr>
                <w:rFonts w:eastAsia="宋体" w:cs="Times New Roman"/>
                <w:bCs/>
                <w:szCs w:val="21"/>
              </w:rPr>
              <w:t>达标</w:t>
            </w:r>
          </w:p>
        </w:tc>
        <w:tc>
          <w:tcPr>
            <w:tcW w:w="483" w:type="pct"/>
            <w:vAlign w:val="center"/>
          </w:tcPr>
          <w:p w14:paraId="06BA6D60">
            <w:pPr>
              <w:ind w:left="-53" w:leftChars="-25" w:right="-53" w:rightChars="-25"/>
              <w:jc w:val="center"/>
              <w:rPr>
                <w:rFonts w:eastAsia="宋体" w:cs="Times New Roman"/>
                <w:bCs/>
                <w:szCs w:val="21"/>
              </w:rPr>
            </w:pPr>
            <w:r>
              <w:rPr>
                <w:rFonts w:eastAsia="宋体" w:cs="Times New Roman"/>
                <w:bCs/>
                <w:szCs w:val="21"/>
              </w:rPr>
              <w:t>100</w:t>
            </w:r>
          </w:p>
        </w:tc>
        <w:tc>
          <w:tcPr>
            <w:tcW w:w="479" w:type="pct"/>
            <w:vAlign w:val="center"/>
          </w:tcPr>
          <w:p w14:paraId="3902C00F">
            <w:pPr>
              <w:ind w:left="-53" w:leftChars="-25" w:right="-53" w:rightChars="-25"/>
              <w:jc w:val="center"/>
              <w:rPr>
                <w:rFonts w:eastAsia="宋体" w:cs="Times New Roman"/>
                <w:bCs/>
                <w:szCs w:val="21"/>
              </w:rPr>
            </w:pPr>
            <w:r>
              <w:rPr>
                <w:rFonts w:eastAsia="宋体" w:cs="Times New Roman"/>
                <w:bCs/>
                <w:szCs w:val="21"/>
              </w:rPr>
              <w:t>100</w:t>
            </w:r>
          </w:p>
        </w:tc>
        <w:tc>
          <w:tcPr>
            <w:tcW w:w="465" w:type="pct"/>
            <w:vAlign w:val="center"/>
          </w:tcPr>
          <w:p w14:paraId="398EE487">
            <w:pPr>
              <w:ind w:left="-53" w:leftChars="-25" w:right="-53" w:rightChars="-25"/>
              <w:jc w:val="center"/>
              <w:rPr>
                <w:rFonts w:eastAsia="宋体" w:cs="Times New Roman"/>
                <w:bCs/>
                <w:szCs w:val="21"/>
              </w:rPr>
            </w:pPr>
            <w:r>
              <w:rPr>
                <w:rFonts w:eastAsia="宋体" w:cs="Times New Roman"/>
                <w:bCs/>
                <w:szCs w:val="21"/>
              </w:rPr>
              <w:t>100</w:t>
            </w:r>
          </w:p>
        </w:tc>
        <w:tc>
          <w:tcPr>
            <w:tcW w:w="299" w:type="pct"/>
            <w:vAlign w:val="center"/>
          </w:tcPr>
          <w:p w14:paraId="39E1EA28">
            <w:pPr>
              <w:ind w:left="-53" w:leftChars="-25" w:right="-53" w:rightChars="-25"/>
              <w:jc w:val="center"/>
              <w:rPr>
                <w:rFonts w:eastAsia="宋体" w:cs="Times New Roman"/>
                <w:szCs w:val="21"/>
              </w:rPr>
            </w:pPr>
            <w:r>
              <w:rPr>
                <w:rFonts w:eastAsia="宋体" w:cs="Times New Roman"/>
                <w:bCs/>
                <w:szCs w:val="21"/>
              </w:rPr>
              <w:t>约束性</w:t>
            </w:r>
          </w:p>
        </w:tc>
      </w:tr>
      <w:tr w14:paraId="150A52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4" w:type="pct"/>
            <w:vMerge w:val="continue"/>
            <w:vAlign w:val="center"/>
          </w:tcPr>
          <w:p w14:paraId="0E6E4877">
            <w:pPr>
              <w:ind w:left="-53" w:leftChars="-25" w:right="-53" w:rightChars="-25"/>
              <w:jc w:val="center"/>
              <w:rPr>
                <w:rFonts w:eastAsia="宋体" w:cs="Times New Roman"/>
                <w:szCs w:val="21"/>
              </w:rPr>
            </w:pPr>
          </w:p>
        </w:tc>
        <w:tc>
          <w:tcPr>
            <w:tcW w:w="260" w:type="pct"/>
            <w:vMerge w:val="continue"/>
            <w:vAlign w:val="center"/>
          </w:tcPr>
          <w:p w14:paraId="37DEAB76">
            <w:pPr>
              <w:ind w:left="-53" w:leftChars="-25" w:right="-53" w:rightChars="-25"/>
              <w:rPr>
                <w:rFonts w:eastAsia="宋体" w:cs="Times New Roman"/>
                <w:szCs w:val="21"/>
              </w:rPr>
            </w:pPr>
          </w:p>
        </w:tc>
        <w:tc>
          <w:tcPr>
            <w:tcW w:w="162" w:type="pct"/>
            <w:vAlign w:val="center"/>
          </w:tcPr>
          <w:p w14:paraId="7464AA7A">
            <w:pPr>
              <w:ind w:left="-53" w:leftChars="-25" w:right="-53" w:rightChars="-25"/>
              <w:jc w:val="center"/>
              <w:rPr>
                <w:rFonts w:eastAsia="宋体" w:cs="Times New Roman"/>
                <w:szCs w:val="21"/>
              </w:rPr>
            </w:pPr>
            <w:r>
              <w:rPr>
                <w:rFonts w:eastAsia="宋体" w:cs="Times New Roman"/>
                <w:szCs w:val="21"/>
              </w:rPr>
              <w:t>32</w:t>
            </w:r>
          </w:p>
        </w:tc>
        <w:tc>
          <w:tcPr>
            <w:tcW w:w="1001" w:type="pct"/>
            <w:vAlign w:val="center"/>
          </w:tcPr>
          <w:p w14:paraId="54ECF7A4">
            <w:pPr>
              <w:ind w:left="-53" w:leftChars="-25" w:right="-53" w:rightChars="-25"/>
              <w:rPr>
                <w:rFonts w:eastAsia="宋体" w:cs="Times New Roman"/>
                <w:szCs w:val="21"/>
              </w:rPr>
            </w:pPr>
            <w:r>
              <w:rPr>
                <w:rFonts w:eastAsia="宋体" w:cs="Times New Roman"/>
                <w:bCs/>
                <w:szCs w:val="21"/>
              </w:rPr>
              <w:t>城镇污水处理率</w:t>
            </w:r>
          </w:p>
        </w:tc>
        <w:tc>
          <w:tcPr>
            <w:tcW w:w="222" w:type="pct"/>
            <w:vAlign w:val="center"/>
          </w:tcPr>
          <w:p w14:paraId="21E52905">
            <w:pPr>
              <w:ind w:left="-53" w:leftChars="-25" w:right="-53" w:rightChars="-25"/>
              <w:jc w:val="center"/>
              <w:rPr>
                <w:rFonts w:eastAsia="宋体" w:cs="Times New Roman"/>
                <w:szCs w:val="21"/>
              </w:rPr>
            </w:pPr>
            <w:r>
              <w:rPr>
                <w:rFonts w:eastAsia="宋体" w:cs="Times New Roman"/>
                <w:szCs w:val="21"/>
              </w:rPr>
              <w:t>%</w:t>
            </w:r>
          </w:p>
        </w:tc>
        <w:tc>
          <w:tcPr>
            <w:tcW w:w="433" w:type="pct"/>
            <w:vAlign w:val="center"/>
          </w:tcPr>
          <w:p w14:paraId="6F636181">
            <w:pPr>
              <w:ind w:left="-53" w:leftChars="-25" w:right="-53" w:rightChars="-25"/>
              <w:jc w:val="center"/>
              <w:rPr>
                <w:rFonts w:eastAsia="宋体" w:cs="Times New Roman"/>
                <w:szCs w:val="21"/>
              </w:rPr>
            </w:pPr>
            <w:r>
              <w:rPr>
                <w:rFonts w:eastAsia="宋体" w:cs="Times New Roman"/>
                <w:bCs/>
                <w:szCs w:val="21"/>
              </w:rPr>
              <w:t>≥85</w:t>
            </w:r>
          </w:p>
        </w:tc>
        <w:tc>
          <w:tcPr>
            <w:tcW w:w="473" w:type="pct"/>
            <w:vAlign w:val="center"/>
          </w:tcPr>
          <w:p w14:paraId="52A09703">
            <w:pPr>
              <w:ind w:left="-53" w:leftChars="-25" w:right="-53" w:rightChars="-25"/>
              <w:jc w:val="center"/>
              <w:rPr>
                <w:rFonts w:eastAsia="宋体" w:cs="Times New Roman"/>
                <w:szCs w:val="21"/>
              </w:rPr>
            </w:pPr>
            <w:r>
              <w:rPr>
                <w:rFonts w:eastAsia="宋体" w:cs="Times New Roman"/>
                <w:szCs w:val="21"/>
              </w:rPr>
              <w:t>100</w:t>
            </w:r>
          </w:p>
        </w:tc>
        <w:tc>
          <w:tcPr>
            <w:tcW w:w="564" w:type="pct"/>
            <w:vAlign w:val="center"/>
          </w:tcPr>
          <w:p w14:paraId="75CE1F62">
            <w:pPr>
              <w:ind w:left="-53" w:leftChars="-25" w:right="-53" w:rightChars="-25"/>
              <w:jc w:val="center"/>
              <w:rPr>
                <w:rFonts w:eastAsia="宋体" w:cs="Times New Roman"/>
                <w:szCs w:val="21"/>
              </w:rPr>
            </w:pPr>
            <w:r>
              <w:rPr>
                <w:rFonts w:eastAsia="宋体" w:cs="Times New Roman"/>
                <w:bCs/>
                <w:szCs w:val="21"/>
              </w:rPr>
              <w:t>已完成</w:t>
            </w:r>
          </w:p>
        </w:tc>
        <w:tc>
          <w:tcPr>
            <w:tcW w:w="483" w:type="pct"/>
            <w:vAlign w:val="center"/>
          </w:tcPr>
          <w:p w14:paraId="7F96F5DF">
            <w:pPr>
              <w:ind w:left="-53" w:leftChars="-25" w:right="-53" w:rightChars="-25"/>
              <w:jc w:val="center"/>
              <w:rPr>
                <w:rFonts w:eastAsia="宋体" w:cs="Times New Roman"/>
                <w:bCs/>
                <w:szCs w:val="21"/>
              </w:rPr>
            </w:pPr>
            <w:r>
              <w:rPr>
                <w:rFonts w:eastAsia="宋体" w:cs="Times New Roman"/>
                <w:bCs/>
                <w:szCs w:val="21"/>
              </w:rPr>
              <w:t>100</w:t>
            </w:r>
          </w:p>
        </w:tc>
        <w:tc>
          <w:tcPr>
            <w:tcW w:w="479" w:type="pct"/>
            <w:vAlign w:val="center"/>
          </w:tcPr>
          <w:p w14:paraId="5D637534">
            <w:pPr>
              <w:ind w:left="-53" w:leftChars="-25" w:right="-53" w:rightChars="-25"/>
              <w:jc w:val="center"/>
              <w:rPr>
                <w:rFonts w:eastAsia="宋体" w:cs="Times New Roman"/>
                <w:bCs/>
                <w:szCs w:val="21"/>
              </w:rPr>
            </w:pPr>
            <w:r>
              <w:rPr>
                <w:rFonts w:eastAsia="宋体" w:cs="Times New Roman"/>
                <w:bCs/>
                <w:szCs w:val="21"/>
              </w:rPr>
              <w:t>100</w:t>
            </w:r>
          </w:p>
        </w:tc>
        <w:tc>
          <w:tcPr>
            <w:tcW w:w="465" w:type="pct"/>
            <w:vAlign w:val="center"/>
          </w:tcPr>
          <w:p w14:paraId="4B943C35">
            <w:pPr>
              <w:ind w:left="-53" w:leftChars="-25" w:right="-53" w:rightChars="-25"/>
              <w:jc w:val="center"/>
              <w:rPr>
                <w:rFonts w:eastAsia="宋体" w:cs="Times New Roman"/>
                <w:bCs/>
                <w:szCs w:val="21"/>
              </w:rPr>
            </w:pPr>
            <w:r>
              <w:rPr>
                <w:rFonts w:eastAsia="宋体" w:cs="Times New Roman"/>
                <w:bCs/>
                <w:szCs w:val="21"/>
              </w:rPr>
              <w:t>100</w:t>
            </w:r>
          </w:p>
        </w:tc>
        <w:tc>
          <w:tcPr>
            <w:tcW w:w="299" w:type="pct"/>
            <w:vAlign w:val="center"/>
          </w:tcPr>
          <w:p w14:paraId="10D6A1D0">
            <w:pPr>
              <w:ind w:left="-53" w:leftChars="-25" w:right="-53" w:rightChars="-25"/>
              <w:jc w:val="center"/>
              <w:rPr>
                <w:rFonts w:eastAsia="宋体" w:cs="Times New Roman"/>
                <w:szCs w:val="21"/>
              </w:rPr>
            </w:pPr>
            <w:r>
              <w:rPr>
                <w:rFonts w:eastAsia="宋体" w:cs="Times New Roman"/>
                <w:bCs/>
                <w:szCs w:val="21"/>
              </w:rPr>
              <w:t>约束性</w:t>
            </w:r>
          </w:p>
        </w:tc>
      </w:tr>
      <w:tr w14:paraId="08074D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4" w:type="pct"/>
            <w:vMerge w:val="continue"/>
            <w:vAlign w:val="center"/>
          </w:tcPr>
          <w:p w14:paraId="481B0D15">
            <w:pPr>
              <w:ind w:left="-53" w:leftChars="-25" w:right="-53" w:rightChars="-25"/>
              <w:jc w:val="center"/>
              <w:rPr>
                <w:rFonts w:eastAsia="宋体" w:cs="Times New Roman"/>
                <w:szCs w:val="21"/>
              </w:rPr>
            </w:pPr>
          </w:p>
        </w:tc>
        <w:tc>
          <w:tcPr>
            <w:tcW w:w="260" w:type="pct"/>
            <w:vMerge w:val="continue"/>
            <w:vAlign w:val="center"/>
          </w:tcPr>
          <w:p w14:paraId="50D1BC10">
            <w:pPr>
              <w:ind w:left="-53" w:leftChars="-25" w:right="-53" w:rightChars="-25"/>
              <w:rPr>
                <w:rFonts w:eastAsia="宋体" w:cs="Times New Roman"/>
                <w:szCs w:val="21"/>
              </w:rPr>
            </w:pPr>
          </w:p>
        </w:tc>
        <w:tc>
          <w:tcPr>
            <w:tcW w:w="162" w:type="pct"/>
            <w:vAlign w:val="center"/>
          </w:tcPr>
          <w:p w14:paraId="19289F10">
            <w:pPr>
              <w:ind w:left="-53" w:leftChars="-25" w:right="-53" w:rightChars="-25"/>
              <w:jc w:val="center"/>
              <w:rPr>
                <w:rFonts w:eastAsia="宋体" w:cs="Times New Roman"/>
                <w:szCs w:val="21"/>
              </w:rPr>
            </w:pPr>
            <w:r>
              <w:rPr>
                <w:rFonts w:eastAsia="宋体" w:cs="Times New Roman"/>
                <w:szCs w:val="21"/>
              </w:rPr>
              <w:t>33</w:t>
            </w:r>
          </w:p>
        </w:tc>
        <w:tc>
          <w:tcPr>
            <w:tcW w:w="1001" w:type="pct"/>
            <w:vAlign w:val="center"/>
          </w:tcPr>
          <w:p w14:paraId="466AD5D8">
            <w:pPr>
              <w:ind w:left="-53" w:leftChars="-25" w:right="-53" w:rightChars="-25"/>
              <w:rPr>
                <w:rFonts w:eastAsia="宋体" w:cs="Times New Roman"/>
                <w:bCs/>
                <w:szCs w:val="21"/>
              </w:rPr>
            </w:pPr>
            <w:r>
              <w:rPr>
                <w:rFonts w:eastAsia="宋体" w:cs="Times New Roman"/>
                <w:bCs/>
                <w:szCs w:val="21"/>
              </w:rPr>
              <w:t>城镇生活垃圾无害化处理率</w:t>
            </w:r>
          </w:p>
        </w:tc>
        <w:tc>
          <w:tcPr>
            <w:tcW w:w="222" w:type="pct"/>
            <w:vAlign w:val="center"/>
          </w:tcPr>
          <w:p w14:paraId="0B9A9FAE">
            <w:pPr>
              <w:ind w:left="-53" w:leftChars="-25" w:right="-53" w:rightChars="-25"/>
              <w:jc w:val="center"/>
              <w:rPr>
                <w:rFonts w:eastAsia="宋体" w:cs="Times New Roman"/>
                <w:szCs w:val="21"/>
              </w:rPr>
            </w:pPr>
            <w:r>
              <w:rPr>
                <w:rFonts w:eastAsia="宋体" w:cs="Times New Roman"/>
                <w:szCs w:val="21"/>
              </w:rPr>
              <w:t>%</w:t>
            </w:r>
          </w:p>
        </w:tc>
        <w:tc>
          <w:tcPr>
            <w:tcW w:w="433" w:type="pct"/>
            <w:vAlign w:val="center"/>
          </w:tcPr>
          <w:p w14:paraId="45EC9261">
            <w:pPr>
              <w:ind w:left="-53" w:leftChars="-25" w:right="-53" w:rightChars="-25"/>
              <w:jc w:val="center"/>
              <w:rPr>
                <w:rFonts w:eastAsia="宋体" w:cs="Times New Roman"/>
                <w:bCs/>
                <w:szCs w:val="21"/>
              </w:rPr>
            </w:pPr>
            <w:r>
              <w:rPr>
                <w:rFonts w:eastAsia="宋体" w:cs="Times New Roman"/>
                <w:bCs/>
                <w:szCs w:val="21"/>
              </w:rPr>
              <w:t>≥80</w:t>
            </w:r>
          </w:p>
        </w:tc>
        <w:tc>
          <w:tcPr>
            <w:tcW w:w="473" w:type="pct"/>
            <w:vAlign w:val="center"/>
          </w:tcPr>
          <w:p w14:paraId="1FB8679C">
            <w:pPr>
              <w:ind w:left="-53" w:leftChars="-25" w:right="-53" w:rightChars="-25"/>
              <w:jc w:val="center"/>
              <w:rPr>
                <w:rStyle w:val="514"/>
                <w:rFonts w:hint="default" w:ascii="Times New Roman" w:eastAsia="宋体" w:cs="Times New Roman"/>
                <w:color w:val="auto"/>
                <w:sz w:val="21"/>
                <w:szCs w:val="21"/>
              </w:rPr>
            </w:pPr>
            <w:r>
              <w:rPr>
                <w:rFonts w:eastAsia="宋体" w:cs="Times New Roman"/>
                <w:szCs w:val="21"/>
              </w:rPr>
              <w:t>100</w:t>
            </w:r>
          </w:p>
        </w:tc>
        <w:tc>
          <w:tcPr>
            <w:tcW w:w="564" w:type="pct"/>
            <w:vAlign w:val="center"/>
          </w:tcPr>
          <w:p w14:paraId="006B9362">
            <w:pPr>
              <w:ind w:left="-53" w:leftChars="-25" w:right="-53" w:rightChars="-25"/>
              <w:jc w:val="center"/>
              <w:rPr>
                <w:rFonts w:eastAsia="宋体" w:cs="Times New Roman"/>
                <w:bCs/>
                <w:szCs w:val="21"/>
              </w:rPr>
            </w:pPr>
            <w:r>
              <w:rPr>
                <w:rFonts w:eastAsia="宋体" w:cs="Times New Roman"/>
                <w:bCs/>
                <w:szCs w:val="21"/>
              </w:rPr>
              <w:t>已完成</w:t>
            </w:r>
          </w:p>
        </w:tc>
        <w:tc>
          <w:tcPr>
            <w:tcW w:w="483" w:type="pct"/>
            <w:vAlign w:val="center"/>
          </w:tcPr>
          <w:p w14:paraId="3A01C38F">
            <w:pPr>
              <w:ind w:left="-53" w:leftChars="-25" w:right="-53" w:rightChars="-25"/>
              <w:jc w:val="center"/>
              <w:rPr>
                <w:rFonts w:eastAsia="宋体" w:cs="Times New Roman"/>
                <w:bCs/>
                <w:szCs w:val="21"/>
              </w:rPr>
            </w:pPr>
            <w:r>
              <w:rPr>
                <w:rFonts w:eastAsia="宋体" w:cs="Times New Roman"/>
                <w:bCs/>
                <w:szCs w:val="21"/>
              </w:rPr>
              <w:t>100</w:t>
            </w:r>
          </w:p>
        </w:tc>
        <w:tc>
          <w:tcPr>
            <w:tcW w:w="479" w:type="pct"/>
            <w:vAlign w:val="center"/>
          </w:tcPr>
          <w:p w14:paraId="70B81E30">
            <w:pPr>
              <w:ind w:left="-53" w:leftChars="-25" w:right="-53" w:rightChars="-25"/>
              <w:jc w:val="center"/>
              <w:rPr>
                <w:rFonts w:eastAsia="宋体" w:cs="Times New Roman"/>
                <w:bCs/>
                <w:szCs w:val="21"/>
              </w:rPr>
            </w:pPr>
            <w:r>
              <w:rPr>
                <w:rFonts w:eastAsia="宋体" w:cs="Times New Roman"/>
                <w:bCs/>
                <w:szCs w:val="21"/>
              </w:rPr>
              <w:t>100</w:t>
            </w:r>
          </w:p>
        </w:tc>
        <w:tc>
          <w:tcPr>
            <w:tcW w:w="465" w:type="pct"/>
            <w:vAlign w:val="center"/>
          </w:tcPr>
          <w:p w14:paraId="626B098D">
            <w:pPr>
              <w:ind w:left="-53" w:leftChars="-25" w:right="-53" w:rightChars="-25"/>
              <w:jc w:val="center"/>
              <w:rPr>
                <w:rFonts w:eastAsia="宋体" w:cs="Times New Roman"/>
                <w:bCs/>
                <w:szCs w:val="21"/>
              </w:rPr>
            </w:pPr>
            <w:r>
              <w:rPr>
                <w:rFonts w:eastAsia="宋体" w:cs="Times New Roman"/>
                <w:bCs/>
                <w:szCs w:val="21"/>
              </w:rPr>
              <w:t>100</w:t>
            </w:r>
          </w:p>
        </w:tc>
        <w:tc>
          <w:tcPr>
            <w:tcW w:w="299" w:type="pct"/>
            <w:vAlign w:val="center"/>
          </w:tcPr>
          <w:p w14:paraId="3F5A58A3">
            <w:pPr>
              <w:ind w:left="-53" w:leftChars="-25" w:right="-53" w:rightChars="-25"/>
              <w:jc w:val="center"/>
              <w:rPr>
                <w:rFonts w:eastAsia="宋体" w:cs="Times New Roman"/>
                <w:bCs/>
                <w:szCs w:val="21"/>
              </w:rPr>
            </w:pPr>
            <w:r>
              <w:rPr>
                <w:rFonts w:eastAsia="宋体" w:cs="Times New Roman"/>
                <w:bCs/>
                <w:szCs w:val="21"/>
              </w:rPr>
              <w:t>约束性</w:t>
            </w:r>
          </w:p>
        </w:tc>
      </w:tr>
      <w:tr w14:paraId="5009F6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4" w:type="pct"/>
            <w:vMerge w:val="continue"/>
            <w:vAlign w:val="center"/>
          </w:tcPr>
          <w:p w14:paraId="1B245594">
            <w:pPr>
              <w:ind w:left="-53" w:leftChars="-25" w:right="-53" w:rightChars="-25"/>
              <w:jc w:val="center"/>
              <w:rPr>
                <w:rFonts w:eastAsia="宋体" w:cs="Times New Roman"/>
                <w:szCs w:val="21"/>
              </w:rPr>
            </w:pPr>
          </w:p>
        </w:tc>
        <w:tc>
          <w:tcPr>
            <w:tcW w:w="260" w:type="pct"/>
            <w:vMerge w:val="continue"/>
            <w:vAlign w:val="center"/>
          </w:tcPr>
          <w:p w14:paraId="5BF3BE6B">
            <w:pPr>
              <w:ind w:left="-53" w:leftChars="-25" w:right="-53" w:rightChars="-25"/>
              <w:rPr>
                <w:rFonts w:eastAsia="宋体" w:cs="Times New Roman"/>
                <w:szCs w:val="21"/>
              </w:rPr>
            </w:pPr>
          </w:p>
        </w:tc>
        <w:tc>
          <w:tcPr>
            <w:tcW w:w="162" w:type="pct"/>
            <w:vAlign w:val="center"/>
          </w:tcPr>
          <w:p w14:paraId="30DCFCCB">
            <w:pPr>
              <w:ind w:left="-53" w:leftChars="-25" w:right="-53" w:rightChars="-25"/>
              <w:jc w:val="center"/>
              <w:rPr>
                <w:rFonts w:eastAsia="宋体" w:cs="Times New Roman"/>
                <w:szCs w:val="21"/>
              </w:rPr>
            </w:pPr>
            <w:r>
              <w:rPr>
                <w:rFonts w:eastAsia="宋体" w:cs="Times New Roman"/>
                <w:szCs w:val="21"/>
              </w:rPr>
              <w:t>34</w:t>
            </w:r>
          </w:p>
        </w:tc>
        <w:tc>
          <w:tcPr>
            <w:tcW w:w="1001" w:type="pct"/>
            <w:vAlign w:val="center"/>
          </w:tcPr>
          <w:p w14:paraId="28DABD22">
            <w:pPr>
              <w:ind w:left="-53" w:leftChars="-25" w:right="-53" w:rightChars="-25"/>
              <w:rPr>
                <w:rFonts w:eastAsia="宋体" w:cs="Times New Roman"/>
                <w:bCs/>
                <w:szCs w:val="21"/>
              </w:rPr>
            </w:pPr>
            <w:r>
              <w:rPr>
                <w:rFonts w:eastAsia="宋体" w:cs="Times New Roman"/>
                <w:bCs/>
                <w:szCs w:val="21"/>
              </w:rPr>
              <w:t>农村无害化卫生厕所普及率</w:t>
            </w:r>
          </w:p>
        </w:tc>
        <w:tc>
          <w:tcPr>
            <w:tcW w:w="222" w:type="pct"/>
            <w:vAlign w:val="center"/>
          </w:tcPr>
          <w:p w14:paraId="6A967C78">
            <w:pPr>
              <w:ind w:left="-53" w:leftChars="-25" w:right="-53" w:rightChars="-25"/>
              <w:jc w:val="center"/>
              <w:rPr>
                <w:rFonts w:eastAsia="宋体" w:cs="Times New Roman"/>
                <w:szCs w:val="21"/>
              </w:rPr>
            </w:pPr>
            <w:r>
              <w:rPr>
                <w:rFonts w:eastAsia="宋体" w:cs="Times New Roman"/>
                <w:szCs w:val="21"/>
              </w:rPr>
              <w:t>%</w:t>
            </w:r>
          </w:p>
        </w:tc>
        <w:tc>
          <w:tcPr>
            <w:tcW w:w="433" w:type="pct"/>
            <w:vAlign w:val="center"/>
          </w:tcPr>
          <w:p w14:paraId="2A31ED7F">
            <w:pPr>
              <w:ind w:left="-53" w:leftChars="-25" w:right="-53" w:rightChars="-25"/>
              <w:jc w:val="center"/>
              <w:rPr>
                <w:rFonts w:eastAsia="宋体" w:cs="Times New Roman"/>
                <w:bCs/>
                <w:szCs w:val="21"/>
              </w:rPr>
            </w:pPr>
            <w:r>
              <w:rPr>
                <w:rFonts w:eastAsia="宋体" w:cs="Times New Roman"/>
                <w:bCs/>
                <w:szCs w:val="21"/>
              </w:rPr>
              <w:t>完成上级规定的目标任务</w:t>
            </w:r>
          </w:p>
        </w:tc>
        <w:tc>
          <w:tcPr>
            <w:tcW w:w="473" w:type="pct"/>
            <w:vAlign w:val="center"/>
          </w:tcPr>
          <w:p w14:paraId="5870FC2C">
            <w:pPr>
              <w:ind w:left="-53" w:leftChars="-25" w:right="-53" w:rightChars="-25"/>
              <w:jc w:val="center"/>
              <w:rPr>
                <w:rFonts w:eastAsia="宋体" w:cs="Times New Roman"/>
                <w:szCs w:val="21"/>
              </w:rPr>
            </w:pPr>
            <w:r>
              <w:rPr>
                <w:rFonts w:hint="eastAsia" w:eastAsia="宋体" w:cs="Times New Roman"/>
                <w:bCs/>
                <w:szCs w:val="21"/>
              </w:rPr>
              <w:t>70，</w:t>
            </w:r>
            <w:r>
              <w:rPr>
                <w:rFonts w:eastAsia="宋体" w:cs="Times New Roman"/>
                <w:bCs/>
                <w:szCs w:val="21"/>
              </w:rPr>
              <w:t>完成上级规定的目标任务</w:t>
            </w:r>
          </w:p>
        </w:tc>
        <w:tc>
          <w:tcPr>
            <w:tcW w:w="564" w:type="pct"/>
            <w:vAlign w:val="center"/>
          </w:tcPr>
          <w:p w14:paraId="0187186D">
            <w:pPr>
              <w:ind w:left="-53" w:leftChars="-25" w:right="-53" w:rightChars="-25"/>
              <w:jc w:val="center"/>
              <w:rPr>
                <w:rFonts w:eastAsia="宋体" w:cs="Times New Roman"/>
                <w:bCs/>
                <w:szCs w:val="21"/>
              </w:rPr>
            </w:pPr>
            <w:r>
              <w:rPr>
                <w:rFonts w:eastAsia="宋体" w:cs="Times New Roman"/>
                <w:bCs/>
                <w:szCs w:val="21"/>
              </w:rPr>
              <w:t>已完成</w:t>
            </w:r>
          </w:p>
        </w:tc>
        <w:tc>
          <w:tcPr>
            <w:tcW w:w="483" w:type="pct"/>
            <w:vAlign w:val="center"/>
          </w:tcPr>
          <w:p w14:paraId="36C0CB6A">
            <w:pPr>
              <w:ind w:left="-53" w:leftChars="-25" w:right="-53" w:rightChars="-25"/>
              <w:jc w:val="center"/>
              <w:rPr>
                <w:rFonts w:eastAsia="宋体" w:cs="Times New Roman"/>
                <w:bCs/>
                <w:szCs w:val="21"/>
              </w:rPr>
            </w:pPr>
            <w:r>
              <w:rPr>
                <w:rFonts w:eastAsia="宋体" w:cs="Times New Roman"/>
                <w:bCs/>
                <w:szCs w:val="21"/>
              </w:rPr>
              <w:t>完成上级规定的目标任务</w:t>
            </w:r>
          </w:p>
        </w:tc>
        <w:tc>
          <w:tcPr>
            <w:tcW w:w="479" w:type="pct"/>
            <w:vAlign w:val="center"/>
          </w:tcPr>
          <w:p w14:paraId="1D4875BB">
            <w:pPr>
              <w:ind w:left="-53" w:leftChars="-25" w:right="-53" w:rightChars="-25"/>
              <w:jc w:val="center"/>
              <w:rPr>
                <w:rFonts w:eastAsia="宋体" w:cs="Times New Roman"/>
                <w:bCs/>
                <w:szCs w:val="21"/>
              </w:rPr>
            </w:pPr>
            <w:r>
              <w:rPr>
                <w:rFonts w:eastAsia="宋体" w:cs="Times New Roman"/>
                <w:bCs/>
                <w:szCs w:val="21"/>
              </w:rPr>
              <w:t>完成上级规定的目标任务</w:t>
            </w:r>
          </w:p>
        </w:tc>
        <w:tc>
          <w:tcPr>
            <w:tcW w:w="465" w:type="pct"/>
            <w:vAlign w:val="center"/>
          </w:tcPr>
          <w:p w14:paraId="7FD94C2A">
            <w:pPr>
              <w:ind w:left="-53" w:leftChars="-25" w:right="-53" w:rightChars="-25"/>
              <w:jc w:val="center"/>
              <w:rPr>
                <w:rFonts w:eastAsia="宋体" w:cs="Times New Roman"/>
                <w:bCs/>
                <w:szCs w:val="21"/>
              </w:rPr>
            </w:pPr>
            <w:r>
              <w:rPr>
                <w:rFonts w:eastAsia="宋体" w:cs="Times New Roman"/>
                <w:bCs/>
                <w:szCs w:val="21"/>
              </w:rPr>
              <w:t>完成上级规定的目标任务</w:t>
            </w:r>
          </w:p>
        </w:tc>
        <w:tc>
          <w:tcPr>
            <w:tcW w:w="299" w:type="pct"/>
            <w:vAlign w:val="center"/>
          </w:tcPr>
          <w:p w14:paraId="4E4BE12A">
            <w:pPr>
              <w:ind w:left="-53" w:leftChars="-25" w:right="-53" w:rightChars="-25"/>
              <w:jc w:val="center"/>
              <w:rPr>
                <w:rFonts w:eastAsia="宋体" w:cs="Times New Roman"/>
                <w:bCs/>
                <w:szCs w:val="21"/>
              </w:rPr>
            </w:pPr>
            <w:r>
              <w:rPr>
                <w:rFonts w:eastAsia="宋体" w:cs="Times New Roman"/>
                <w:bCs/>
                <w:szCs w:val="21"/>
              </w:rPr>
              <w:t>参考性</w:t>
            </w:r>
          </w:p>
        </w:tc>
      </w:tr>
      <w:tr w14:paraId="2DA159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4" w:type="pct"/>
            <w:vMerge w:val="continue"/>
            <w:vAlign w:val="center"/>
          </w:tcPr>
          <w:p w14:paraId="29418794">
            <w:pPr>
              <w:ind w:left="-53" w:leftChars="-25" w:right="-53" w:rightChars="-25"/>
              <w:jc w:val="center"/>
              <w:rPr>
                <w:rFonts w:eastAsia="宋体" w:cs="Times New Roman"/>
                <w:szCs w:val="21"/>
              </w:rPr>
            </w:pPr>
          </w:p>
        </w:tc>
        <w:tc>
          <w:tcPr>
            <w:tcW w:w="260" w:type="pct"/>
            <w:vMerge w:val="continue"/>
            <w:vAlign w:val="center"/>
          </w:tcPr>
          <w:p w14:paraId="51FB09C3">
            <w:pPr>
              <w:ind w:left="-53" w:leftChars="-25" w:right="-53" w:rightChars="-25"/>
              <w:rPr>
                <w:rFonts w:eastAsia="宋体" w:cs="Times New Roman"/>
                <w:szCs w:val="21"/>
              </w:rPr>
            </w:pPr>
          </w:p>
        </w:tc>
        <w:tc>
          <w:tcPr>
            <w:tcW w:w="162" w:type="pct"/>
            <w:vAlign w:val="center"/>
          </w:tcPr>
          <w:p w14:paraId="26B2653E">
            <w:pPr>
              <w:ind w:left="-53" w:leftChars="-25" w:right="-53" w:rightChars="-25"/>
              <w:jc w:val="center"/>
              <w:rPr>
                <w:rFonts w:eastAsia="宋体" w:cs="Times New Roman"/>
                <w:szCs w:val="21"/>
              </w:rPr>
            </w:pPr>
            <w:r>
              <w:rPr>
                <w:rFonts w:eastAsia="宋体" w:cs="Times New Roman"/>
                <w:szCs w:val="21"/>
              </w:rPr>
              <w:t>35</w:t>
            </w:r>
          </w:p>
        </w:tc>
        <w:tc>
          <w:tcPr>
            <w:tcW w:w="1001" w:type="pct"/>
            <w:vAlign w:val="center"/>
          </w:tcPr>
          <w:p w14:paraId="24E2C87A">
            <w:pPr>
              <w:ind w:left="-53" w:leftChars="-25" w:right="-53" w:rightChars="-25"/>
              <w:rPr>
                <w:rFonts w:eastAsia="宋体" w:cs="Times New Roman"/>
                <w:bCs/>
                <w:szCs w:val="21"/>
              </w:rPr>
            </w:pPr>
            <w:r>
              <w:rPr>
                <w:rFonts w:eastAsia="宋体" w:cs="Times New Roman"/>
                <w:bCs/>
                <w:szCs w:val="21"/>
              </w:rPr>
              <w:t>农村生活污水治理率</w:t>
            </w:r>
          </w:p>
        </w:tc>
        <w:tc>
          <w:tcPr>
            <w:tcW w:w="222" w:type="pct"/>
            <w:vAlign w:val="center"/>
          </w:tcPr>
          <w:p w14:paraId="2B31B8B4">
            <w:pPr>
              <w:ind w:left="-53" w:leftChars="-25" w:right="-53" w:rightChars="-25"/>
              <w:jc w:val="center"/>
              <w:rPr>
                <w:rFonts w:eastAsia="宋体" w:cs="Times New Roman"/>
                <w:szCs w:val="21"/>
              </w:rPr>
            </w:pPr>
            <w:r>
              <w:rPr>
                <w:rFonts w:eastAsia="宋体" w:cs="Times New Roman"/>
                <w:szCs w:val="21"/>
              </w:rPr>
              <w:t>%</w:t>
            </w:r>
          </w:p>
        </w:tc>
        <w:tc>
          <w:tcPr>
            <w:tcW w:w="433" w:type="pct"/>
            <w:vAlign w:val="center"/>
          </w:tcPr>
          <w:p w14:paraId="2D8796B3">
            <w:pPr>
              <w:ind w:left="-53" w:leftChars="-25" w:right="-53" w:rightChars="-25"/>
              <w:jc w:val="center"/>
              <w:rPr>
                <w:rFonts w:eastAsia="宋体" w:cs="Times New Roman"/>
                <w:bCs/>
                <w:szCs w:val="21"/>
              </w:rPr>
            </w:pPr>
            <w:r>
              <w:rPr>
                <w:rFonts w:eastAsia="宋体" w:cs="Times New Roman"/>
                <w:bCs/>
                <w:szCs w:val="21"/>
              </w:rPr>
              <w:t>≥50</w:t>
            </w:r>
          </w:p>
        </w:tc>
        <w:tc>
          <w:tcPr>
            <w:tcW w:w="473" w:type="pct"/>
            <w:vAlign w:val="center"/>
          </w:tcPr>
          <w:p w14:paraId="45AD2B8A">
            <w:pPr>
              <w:ind w:left="-53" w:leftChars="-25" w:right="-53" w:rightChars="-25"/>
              <w:jc w:val="center"/>
              <w:rPr>
                <w:rFonts w:eastAsia="宋体" w:cs="Times New Roman"/>
                <w:bCs/>
                <w:szCs w:val="21"/>
              </w:rPr>
            </w:pPr>
            <w:r>
              <w:rPr>
                <w:rFonts w:eastAsia="宋体" w:cs="Times New Roman"/>
                <w:bCs/>
                <w:szCs w:val="21"/>
              </w:rPr>
              <w:t xml:space="preserve">80 </w:t>
            </w:r>
          </w:p>
        </w:tc>
        <w:tc>
          <w:tcPr>
            <w:tcW w:w="564" w:type="pct"/>
            <w:vAlign w:val="center"/>
          </w:tcPr>
          <w:p w14:paraId="1F6C3729">
            <w:pPr>
              <w:ind w:left="-53" w:leftChars="-25" w:right="-53" w:rightChars="-25"/>
              <w:jc w:val="center"/>
              <w:rPr>
                <w:rFonts w:eastAsia="宋体" w:cs="Times New Roman"/>
                <w:bCs/>
                <w:szCs w:val="21"/>
              </w:rPr>
            </w:pPr>
            <w:r>
              <w:rPr>
                <w:rFonts w:eastAsia="宋体" w:cs="Times New Roman"/>
                <w:bCs/>
                <w:szCs w:val="21"/>
              </w:rPr>
              <w:t>达标</w:t>
            </w:r>
          </w:p>
        </w:tc>
        <w:tc>
          <w:tcPr>
            <w:tcW w:w="483" w:type="pct"/>
            <w:vAlign w:val="center"/>
          </w:tcPr>
          <w:p w14:paraId="158CD433">
            <w:pPr>
              <w:ind w:left="-53" w:leftChars="-25" w:right="-53" w:rightChars="-25"/>
              <w:jc w:val="center"/>
              <w:rPr>
                <w:rFonts w:eastAsia="宋体" w:cs="Times New Roman"/>
                <w:bCs/>
                <w:szCs w:val="21"/>
              </w:rPr>
            </w:pPr>
            <w:r>
              <w:rPr>
                <w:rFonts w:eastAsia="宋体" w:cs="Times New Roman"/>
                <w:bCs/>
                <w:szCs w:val="21"/>
              </w:rPr>
              <w:t>80</w:t>
            </w:r>
          </w:p>
        </w:tc>
        <w:tc>
          <w:tcPr>
            <w:tcW w:w="479" w:type="pct"/>
            <w:vAlign w:val="center"/>
          </w:tcPr>
          <w:p w14:paraId="56B553C3">
            <w:pPr>
              <w:ind w:left="-53" w:leftChars="-25" w:right="-53" w:rightChars="-25"/>
              <w:jc w:val="center"/>
              <w:rPr>
                <w:rFonts w:eastAsia="宋体" w:cs="Times New Roman"/>
                <w:bCs/>
                <w:szCs w:val="21"/>
              </w:rPr>
            </w:pPr>
            <w:r>
              <w:rPr>
                <w:rFonts w:eastAsia="宋体" w:cs="Times New Roman"/>
                <w:bCs/>
                <w:szCs w:val="21"/>
              </w:rPr>
              <w:t>82</w:t>
            </w:r>
          </w:p>
        </w:tc>
        <w:tc>
          <w:tcPr>
            <w:tcW w:w="465" w:type="pct"/>
            <w:vAlign w:val="center"/>
          </w:tcPr>
          <w:p w14:paraId="055B3244">
            <w:pPr>
              <w:ind w:left="-53" w:leftChars="-25" w:right="-53" w:rightChars="-25"/>
              <w:jc w:val="center"/>
              <w:rPr>
                <w:rFonts w:eastAsia="宋体" w:cs="Times New Roman"/>
                <w:bCs/>
                <w:szCs w:val="21"/>
              </w:rPr>
            </w:pPr>
            <w:r>
              <w:rPr>
                <w:rFonts w:eastAsia="宋体" w:cs="Times New Roman"/>
                <w:bCs/>
                <w:szCs w:val="21"/>
              </w:rPr>
              <w:t>85</w:t>
            </w:r>
          </w:p>
        </w:tc>
        <w:tc>
          <w:tcPr>
            <w:tcW w:w="299" w:type="pct"/>
            <w:vAlign w:val="center"/>
          </w:tcPr>
          <w:p w14:paraId="16A406B0">
            <w:pPr>
              <w:ind w:left="-53" w:leftChars="-25" w:right="-53" w:rightChars="-25"/>
              <w:jc w:val="center"/>
              <w:rPr>
                <w:rFonts w:eastAsia="宋体" w:cs="Times New Roman"/>
                <w:bCs/>
                <w:szCs w:val="21"/>
              </w:rPr>
            </w:pPr>
            <w:r>
              <w:rPr>
                <w:rFonts w:eastAsia="宋体" w:cs="Times New Roman"/>
                <w:bCs/>
                <w:szCs w:val="21"/>
              </w:rPr>
              <w:t>参考性</w:t>
            </w:r>
          </w:p>
        </w:tc>
      </w:tr>
      <w:tr w14:paraId="458945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4" w:type="pct"/>
            <w:vMerge w:val="continue"/>
            <w:vAlign w:val="center"/>
          </w:tcPr>
          <w:p w14:paraId="21EC47ED">
            <w:pPr>
              <w:ind w:left="-53" w:leftChars="-25" w:right="-53" w:rightChars="-25"/>
              <w:jc w:val="center"/>
              <w:rPr>
                <w:rFonts w:eastAsia="宋体" w:cs="Times New Roman"/>
                <w:szCs w:val="21"/>
              </w:rPr>
            </w:pPr>
          </w:p>
        </w:tc>
        <w:tc>
          <w:tcPr>
            <w:tcW w:w="260" w:type="pct"/>
            <w:vMerge w:val="restart"/>
            <w:vAlign w:val="center"/>
          </w:tcPr>
          <w:p w14:paraId="00901E3A">
            <w:pPr>
              <w:ind w:left="-53" w:leftChars="-25" w:right="-53" w:rightChars="-25"/>
              <w:rPr>
                <w:rFonts w:eastAsia="宋体" w:cs="Times New Roman"/>
                <w:szCs w:val="21"/>
              </w:rPr>
            </w:pPr>
            <w:r>
              <w:rPr>
                <w:rFonts w:eastAsia="宋体" w:cs="Times New Roman"/>
                <w:bCs/>
                <w:szCs w:val="21"/>
              </w:rPr>
              <w:t>（九）生活方式绿色化</w:t>
            </w:r>
          </w:p>
        </w:tc>
        <w:tc>
          <w:tcPr>
            <w:tcW w:w="162" w:type="pct"/>
            <w:vAlign w:val="center"/>
          </w:tcPr>
          <w:p w14:paraId="33E4435B">
            <w:pPr>
              <w:ind w:left="-53" w:leftChars="-25" w:right="-53" w:rightChars="-25"/>
              <w:jc w:val="center"/>
              <w:rPr>
                <w:rFonts w:eastAsia="宋体" w:cs="Times New Roman"/>
                <w:szCs w:val="21"/>
              </w:rPr>
            </w:pPr>
            <w:r>
              <w:rPr>
                <w:rFonts w:eastAsia="宋体" w:cs="Times New Roman"/>
                <w:szCs w:val="21"/>
              </w:rPr>
              <w:t>36</w:t>
            </w:r>
          </w:p>
        </w:tc>
        <w:tc>
          <w:tcPr>
            <w:tcW w:w="1001" w:type="pct"/>
            <w:vAlign w:val="center"/>
          </w:tcPr>
          <w:p w14:paraId="56F8BAF2">
            <w:pPr>
              <w:ind w:left="-53" w:leftChars="-25" w:right="-53" w:rightChars="-25"/>
              <w:rPr>
                <w:rFonts w:eastAsia="宋体" w:cs="Times New Roman"/>
                <w:szCs w:val="21"/>
              </w:rPr>
            </w:pPr>
            <w:r>
              <w:rPr>
                <w:rFonts w:eastAsia="宋体" w:cs="Times New Roman"/>
                <w:bCs/>
                <w:szCs w:val="21"/>
              </w:rPr>
              <w:t>城镇新建绿色建筑比例</w:t>
            </w:r>
          </w:p>
        </w:tc>
        <w:tc>
          <w:tcPr>
            <w:tcW w:w="222" w:type="pct"/>
            <w:vAlign w:val="center"/>
          </w:tcPr>
          <w:p w14:paraId="1F28C6CC">
            <w:pPr>
              <w:ind w:left="-53" w:leftChars="-25" w:right="-53" w:rightChars="-25"/>
              <w:jc w:val="center"/>
              <w:rPr>
                <w:rFonts w:eastAsia="宋体" w:cs="Times New Roman"/>
                <w:szCs w:val="21"/>
              </w:rPr>
            </w:pPr>
            <w:r>
              <w:rPr>
                <w:rFonts w:eastAsia="宋体" w:cs="Times New Roman"/>
                <w:szCs w:val="21"/>
              </w:rPr>
              <w:t>%</w:t>
            </w:r>
          </w:p>
        </w:tc>
        <w:tc>
          <w:tcPr>
            <w:tcW w:w="433" w:type="pct"/>
            <w:vAlign w:val="center"/>
          </w:tcPr>
          <w:p w14:paraId="7A5F390D">
            <w:pPr>
              <w:ind w:left="-53" w:leftChars="-25" w:right="-53" w:rightChars="-25"/>
              <w:jc w:val="center"/>
              <w:rPr>
                <w:rFonts w:eastAsia="宋体" w:cs="Times New Roman"/>
                <w:szCs w:val="21"/>
              </w:rPr>
            </w:pPr>
            <w:r>
              <w:rPr>
                <w:rFonts w:eastAsia="宋体" w:cs="Times New Roman"/>
                <w:bCs/>
                <w:szCs w:val="21"/>
              </w:rPr>
              <w:t>≥50</w:t>
            </w:r>
          </w:p>
        </w:tc>
        <w:tc>
          <w:tcPr>
            <w:tcW w:w="473" w:type="pct"/>
            <w:vAlign w:val="center"/>
          </w:tcPr>
          <w:p w14:paraId="321CA9B9">
            <w:pPr>
              <w:ind w:left="-53" w:leftChars="-25" w:right="-53" w:rightChars="-25"/>
              <w:jc w:val="center"/>
              <w:rPr>
                <w:rFonts w:eastAsia="宋体" w:cs="Times New Roman"/>
                <w:szCs w:val="21"/>
              </w:rPr>
            </w:pPr>
            <w:r>
              <w:rPr>
                <w:rFonts w:eastAsia="宋体" w:cs="Times New Roman"/>
                <w:szCs w:val="21"/>
              </w:rPr>
              <w:t>59</w:t>
            </w:r>
          </w:p>
        </w:tc>
        <w:tc>
          <w:tcPr>
            <w:tcW w:w="564" w:type="pct"/>
            <w:vAlign w:val="center"/>
          </w:tcPr>
          <w:p w14:paraId="10A7FDBE">
            <w:pPr>
              <w:ind w:left="-53" w:leftChars="-25" w:right="-53" w:rightChars="-25"/>
              <w:jc w:val="center"/>
              <w:rPr>
                <w:rFonts w:eastAsia="宋体" w:cs="Times New Roman"/>
                <w:szCs w:val="21"/>
              </w:rPr>
            </w:pPr>
            <w:r>
              <w:rPr>
                <w:rFonts w:eastAsia="宋体" w:cs="Times New Roman"/>
                <w:bCs/>
                <w:szCs w:val="21"/>
              </w:rPr>
              <w:t>已完成</w:t>
            </w:r>
          </w:p>
        </w:tc>
        <w:tc>
          <w:tcPr>
            <w:tcW w:w="483" w:type="pct"/>
            <w:vAlign w:val="center"/>
          </w:tcPr>
          <w:p w14:paraId="17BE2C35">
            <w:pPr>
              <w:ind w:left="-53" w:leftChars="-25" w:right="-53" w:rightChars="-25"/>
              <w:jc w:val="center"/>
              <w:rPr>
                <w:rFonts w:eastAsia="宋体" w:cs="Times New Roman"/>
                <w:bCs/>
                <w:szCs w:val="21"/>
              </w:rPr>
            </w:pPr>
            <w:r>
              <w:rPr>
                <w:rFonts w:eastAsia="宋体" w:cs="Times New Roman"/>
                <w:bCs/>
                <w:szCs w:val="21"/>
              </w:rPr>
              <w:t>≥60</w:t>
            </w:r>
          </w:p>
        </w:tc>
        <w:tc>
          <w:tcPr>
            <w:tcW w:w="479" w:type="pct"/>
            <w:vAlign w:val="center"/>
          </w:tcPr>
          <w:p w14:paraId="75B299FC">
            <w:pPr>
              <w:ind w:left="-53" w:leftChars="-25" w:right="-53" w:rightChars="-25"/>
              <w:jc w:val="center"/>
              <w:rPr>
                <w:rFonts w:eastAsia="宋体" w:cs="Times New Roman"/>
                <w:bCs/>
                <w:szCs w:val="21"/>
              </w:rPr>
            </w:pPr>
            <w:r>
              <w:rPr>
                <w:rFonts w:eastAsia="宋体" w:cs="Times New Roman"/>
                <w:bCs/>
                <w:szCs w:val="21"/>
              </w:rPr>
              <w:t>≥6</w:t>
            </w:r>
            <w:r>
              <w:rPr>
                <w:rFonts w:hint="eastAsia" w:eastAsia="宋体" w:cs="Times New Roman"/>
                <w:bCs/>
                <w:szCs w:val="21"/>
              </w:rPr>
              <w:t>5</w:t>
            </w:r>
          </w:p>
        </w:tc>
        <w:tc>
          <w:tcPr>
            <w:tcW w:w="465" w:type="pct"/>
            <w:vAlign w:val="center"/>
          </w:tcPr>
          <w:p w14:paraId="5FCA433E">
            <w:pPr>
              <w:ind w:left="-53" w:leftChars="-25" w:right="-53" w:rightChars="-25"/>
              <w:jc w:val="center"/>
              <w:rPr>
                <w:rFonts w:eastAsia="宋体" w:cs="Times New Roman"/>
                <w:bCs/>
                <w:szCs w:val="21"/>
              </w:rPr>
            </w:pPr>
            <w:r>
              <w:rPr>
                <w:rFonts w:eastAsia="宋体" w:cs="Times New Roman"/>
                <w:bCs/>
                <w:szCs w:val="21"/>
              </w:rPr>
              <w:t>≥</w:t>
            </w:r>
            <w:r>
              <w:rPr>
                <w:rFonts w:hint="eastAsia" w:eastAsia="宋体" w:cs="Times New Roman"/>
                <w:bCs/>
                <w:szCs w:val="21"/>
              </w:rPr>
              <w:t>7</w:t>
            </w:r>
            <w:r>
              <w:rPr>
                <w:rFonts w:eastAsia="宋体" w:cs="Times New Roman"/>
                <w:bCs/>
                <w:szCs w:val="21"/>
              </w:rPr>
              <w:t>0</w:t>
            </w:r>
          </w:p>
        </w:tc>
        <w:tc>
          <w:tcPr>
            <w:tcW w:w="299" w:type="pct"/>
            <w:vAlign w:val="center"/>
          </w:tcPr>
          <w:p w14:paraId="6D829489">
            <w:pPr>
              <w:ind w:left="-53" w:leftChars="-25" w:right="-53" w:rightChars="-25"/>
              <w:jc w:val="center"/>
              <w:rPr>
                <w:rFonts w:eastAsia="宋体" w:cs="Times New Roman"/>
                <w:szCs w:val="21"/>
              </w:rPr>
            </w:pPr>
            <w:r>
              <w:rPr>
                <w:rFonts w:eastAsia="宋体" w:cs="Times New Roman"/>
                <w:bCs/>
                <w:szCs w:val="21"/>
              </w:rPr>
              <w:t>参考性</w:t>
            </w:r>
          </w:p>
        </w:tc>
      </w:tr>
      <w:tr w14:paraId="48EA74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4" w:type="pct"/>
            <w:vMerge w:val="continue"/>
            <w:vAlign w:val="center"/>
          </w:tcPr>
          <w:p w14:paraId="3E290D4E">
            <w:pPr>
              <w:ind w:left="-53" w:leftChars="-25" w:right="-53" w:rightChars="-25"/>
              <w:jc w:val="center"/>
              <w:rPr>
                <w:rFonts w:eastAsia="宋体" w:cs="Times New Roman"/>
                <w:szCs w:val="21"/>
              </w:rPr>
            </w:pPr>
          </w:p>
        </w:tc>
        <w:tc>
          <w:tcPr>
            <w:tcW w:w="260" w:type="pct"/>
            <w:vMerge w:val="continue"/>
            <w:vAlign w:val="center"/>
          </w:tcPr>
          <w:p w14:paraId="47F0504A">
            <w:pPr>
              <w:ind w:left="-53" w:leftChars="-25" w:right="-53" w:rightChars="-25"/>
              <w:rPr>
                <w:rFonts w:eastAsia="宋体" w:cs="Times New Roman"/>
                <w:szCs w:val="21"/>
              </w:rPr>
            </w:pPr>
          </w:p>
        </w:tc>
        <w:tc>
          <w:tcPr>
            <w:tcW w:w="162" w:type="pct"/>
            <w:vAlign w:val="center"/>
          </w:tcPr>
          <w:p w14:paraId="6944F063">
            <w:pPr>
              <w:ind w:left="-53" w:leftChars="-25" w:right="-53" w:rightChars="-25"/>
              <w:jc w:val="center"/>
              <w:rPr>
                <w:rFonts w:eastAsia="宋体" w:cs="Times New Roman"/>
                <w:szCs w:val="21"/>
              </w:rPr>
            </w:pPr>
            <w:r>
              <w:rPr>
                <w:rFonts w:eastAsia="宋体" w:cs="Times New Roman"/>
                <w:szCs w:val="21"/>
              </w:rPr>
              <w:t>37</w:t>
            </w:r>
          </w:p>
        </w:tc>
        <w:tc>
          <w:tcPr>
            <w:tcW w:w="1001" w:type="pct"/>
            <w:vAlign w:val="center"/>
          </w:tcPr>
          <w:p w14:paraId="14C6E713">
            <w:pPr>
              <w:ind w:left="157" w:leftChars="-25" w:right="-53" w:rightChars="-25" w:hanging="210" w:hangingChars="100"/>
              <w:rPr>
                <w:rFonts w:eastAsia="宋体" w:cs="Times New Roman"/>
                <w:bCs/>
                <w:szCs w:val="21"/>
              </w:rPr>
            </w:pPr>
            <w:r>
              <w:rPr>
                <w:rFonts w:eastAsia="宋体" w:cs="Times New Roman"/>
                <w:bCs/>
                <w:szCs w:val="21"/>
              </w:rPr>
              <w:t>生活废弃物综合利用</w:t>
            </w:r>
          </w:p>
          <w:p w14:paraId="2D9B86F7">
            <w:pPr>
              <w:ind w:left="157" w:leftChars="-25" w:right="-53" w:rightChars="-25" w:hanging="210" w:hangingChars="100"/>
              <w:rPr>
                <w:rFonts w:eastAsia="宋体" w:cs="Times New Roman"/>
                <w:bCs/>
                <w:szCs w:val="21"/>
              </w:rPr>
            </w:pPr>
            <w:r>
              <w:rPr>
                <w:rFonts w:eastAsia="宋体" w:cs="Times New Roman"/>
                <w:bCs/>
                <w:szCs w:val="21"/>
              </w:rPr>
              <w:t>城镇垃圾分类减量化行动</w:t>
            </w:r>
          </w:p>
          <w:p w14:paraId="42957B03">
            <w:pPr>
              <w:ind w:left="157" w:leftChars="-25" w:right="-53" w:rightChars="-25" w:hanging="210" w:hangingChars="100"/>
              <w:rPr>
                <w:rFonts w:eastAsia="宋体" w:cs="Times New Roman"/>
                <w:szCs w:val="21"/>
              </w:rPr>
            </w:pPr>
            <w:r>
              <w:rPr>
                <w:rFonts w:eastAsia="宋体" w:cs="Times New Roman"/>
                <w:bCs/>
                <w:szCs w:val="21"/>
              </w:rPr>
              <w:t>农村生活垃圾集中收集储运</w:t>
            </w:r>
          </w:p>
        </w:tc>
        <w:tc>
          <w:tcPr>
            <w:tcW w:w="222" w:type="pct"/>
            <w:vAlign w:val="center"/>
          </w:tcPr>
          <w:p w14:paraId="7B9CEE4A">
            <w:pPr>
              <w:ind w:left="-53" w:leftChars="-25" w:right="-53" w:rightChars="-25"/>
              <w:jc w:val="center"/>
              <w:rPr>
                <w:rFonts w:eastAsia="宋体" w:cs="Times New Roman"/>
                <w:szCs w:val="21"/>
              </w:rPr>
            </w:pPr>
            <w:r>
              <w:rPr>
                <w:rFonts w:eastAsia="宋体" w:cs="Times New Roman"/>
                <w:szCs w:val="21"/>
              </w:rPr>
              <w:t>%</w:t>
            </w:r>
          </w:p>
        </w:tc>
        <w:tc>
          <w:tcPr>
            <w:tcW w:w="433" w:type="pct"/>
            <w:vAlign w:val="center"/>
          </w:tcPr>
          <w:p w14:paraId="4E6E82AB">
            <w:pPr>
              <w:ind w:left="-53" w:leftChars="-25" w:right="-53" w:rightChars="-25"/>
              <w:jc w:val="center"/>
              <w:rPr>
                <w:rFonts w:eastAsia="宋体" w:cs="Times New Roman"/>
                <w:bCs/>
                <w:szCs w:val="21"/>
              </w:rPr>
            </w:pPr>
          </w:p>
          <w:p w14:paraId="0097C8A5">
            <w:pPr>
              <w:ind w:left="-53" w:leftChars="-25" w:right="-53" w:rightChars="-25"/>
              <w:jc w:val="center"/>
              <w:rPr>
                <w:rFonts w:eastAsia="宋体" w:cs="Times New Roman"/>
                <w:bCs/>
                <w:szCs w:val="21"/>
              </w:rPr>
            </w:pPr>
            <w:r>
              <w:rPr>
                <w:rFonts w:eastAsia="宋体" w:cs="Times New Roman"/>
                <w:bCs/>
                <w:szCs w:val="21"/>
              </w:rPr>
              <w:t>实施</w:t>
            </w:r>
          </w:p>
          <w:p w14:paraId="59F91258">
            <w:pPr>
              <w:ind w:left="-53" w:leftChars="-25" w:right="-53" w:rightChars="-25"/>
              <w:jc w:val="center"/>
              <w:rPr>
                <w:rFonts w:eastAsia="宋体" w:cs="Times New Roman"/>
                <w:bCs/>
                <w:szCs w:val="21"/>
              </w:rPr>
            </w:pPr>
            <w:r>
              <w:rPr>
                <w:rFonts w:eastAsia="宋体" w:cs="Times New Roman"/>
                <w:bCs/>
                <w:szCs w:val="21"/>
              </w:rPr>
              <w:t>≥95</w:t>
            </w:r>
          </w:p>
          <w:p w14:paraId="4341A0D9">
            <w:pPr>
              <w:ind w:left="-53" w:leftChars="-25" w:right="-53" w:rightChars="-25"/>
              <w:jc w:val="center"/>
              <w:rPr>
                <w:rFonts w:eastAsia="宋体" w:cs="Times New Roman"/>
                <w:szCs w:val="21"/>
              </w:rPr>
            </w:pPr>
          </w:p>
        </w:tc>
        <w:tc>
          <w:tcPr>
            <w:tcW w:w="473" w:type="pct"/>
            <w:vAlign w:val="center"/>
          </w:tcPr>
          <w:p w14:paraId="47C472D5">
            <w:pPr>
              <w:ind w:left="-53" w:leftChars="-25" w:right="-53" w:rightChars="-25"/>
              <w:jc w:val="center"/>
              <w:rPr>
                <w:rFonts w:eastAsia="宋体" w:cs="Times New Roman"/>
                <w:szCs w:val="21"/>
              </w:rPr>
            </w:pPr>
            <w:r>
              <w:rPr>
                <w:rFonts w:eastAsia="宋体" w:cs="Times New Roman"/>
                <w:szCs w:val="21"/>
              </w:rPr>
              <w:t>实施</w:t>
            </w:r>
          </w:p>
          <w:p w14:paraId="56763297">
            <w:pPr>
              <w:ind w:left="-53" w:leftChars="-25" w:right="-53" w:rightChars="-25"/>
              <w:jc w:val="center"/>
              <w:rPr>
                <w:rFonts w:eastAsia="宋体" w:cs="Times New Roman"/>
                <w:szCs w:val="21"/>
              </w:rPr>
            </w:pPr>
            <w:r>
              <w:rPr>
                <w:rFonts w:eastAsia="宋体" w:cs="Times New Roman"/>
                <w:bCs/>
                <w:szCs w:val="21"/>
              </w:rPr>
              <w:t>100%</w:t>
            </w:r>
          </w:p>
        </w:tc>
        <w:tc>
          <w:tcPr>
            <w:tcW w:w="564" w:type="pct"/>
            <w:vAlign w:val="center"/>
          </w:tcPr>
          <w:p w14:paraId="0F7FA333">
            <w:pPr>
              <w:ind w:left="-53" w:leftChars="-25" w:right="-53" w:rightChars="-25"/>
              <w:jc w:val="center"/>
              <w:rPr>
                <w:rFonts w:eastAsia="宋体" w:cs="Times New Roman"/>
                <w:szCs w:val="21"/>
              </w:rPr>
            </w:pPr>
            <w:r>
              <w:rPr>
                <w:rFonts w:eastAsia="宋体" w:cs="Times New Roman"/>
                <w:bCs/>
                <w:szCs w:val="21"/>
              </w:rPr>
              <w:t>达标</w:t>
            </w:r>
          </w:p>
        </w:tc>
        <w:tc>
          <w:tcPr>
            <w:tcW w:w="483" w:type="pct"/>
            <w:vAlign w:val="center"/>
          </w:tcPr>
          <w:p w14:paraId="2EA494EC">
            <w:pPr>
              <w:ind w:left="-53" w:leftChars="-25" w:right="-53" w:rightChars="-25" w:firstLine="420"/>
              <w:rPr>
                <w:rFonts w:eastAsia="宋体" w:cs="Times New Roman"/>
                <w:bCs/>
                <w:szCs w:val="21"/>
              </w:rPr>
            </w:pPr>
            <w:r>
              <w:rPr>
                <w:rFonts w:eastAsia="宋体" w:cs="Times New Roman"/>
                <w:bCs/>
                <w:szCs w:val="21"/>
              </w:rPr>
              <w:t>实施</w:t>
            </w:r>
          </w:p>
          <w:p w14:paraId="7AF200D1">
            <w:pPr>
              <w:ind w:left="-53" w:leftChars="-25" w:right="-53" w:rightChars="-25" w:firstLine="420"/>
              <w:rPr>
                <w:rFonts w:eastAsia="宋体" w:cs="Times New Roman"/>
                <w:bCs/>
                <w:szCs w:val="21"/>
              </w:rPr>
            </w:pPr>
            <w:r>
              <w:rPr>
                <w:rFonts w:eastAsia="宋体" w:cs="Times New Roman"/>
                <w:bCs/>
                <w:szCs w:val="21"/>
              </w:rPr>
              <w:t>100</w:t>
            </w:r>
          </w:p>
        </w:tc>
        <w:tc>
          <w:tcPr>
            <w:tcW w:w="479" w:type="pct"/>
            <w:vAlign w:val="center"/>
          </w:tcPr>
          <w:p w14:paraId="31163F06">
            <w:pPr>
              <w:ind w:left="-53" w:leftChars="-25" w:right="-53" w:rightChars="-25"/>
              <w:jc w:val="center"/>
              <w:rPr>
                <w:rFonts w:eastAsia="宋体" w:cs="Times New Roman"/>
                <w:bCs/>
                <w:szCs w:val="21"/>
              </w:rPr>
            </w:pPr>
            <w:r>
              <w:rPr>
                <w:rFonts w:eastAsia="宋体" w:cs="Times New Roman"/>
                <w:bCs/>
                <w:szCs w:val="21"/>
              </w:rPr>
              <w:t>实施</w:t>
            </w:r>
          </w:p>
          <w:p w14:paraId="3D7C8EA4">
            <w:pPr>
              <w:ind w:left="-53" w:leftChars="-25" w:right="-53" w:rightChars="-25"/>
              <w:jc w:val="center"/>
              <w:rPr>
                <w:rFonts w:eastAsia="宋体" w:cs="Times New Roman"/>
                <w:bCs/>
                <w:szCs w:val="21"/>
              </w:rPr>
            </w:pPr>
            <w:r>
              <w:rPr>
                <w:rFonts w:eastAsia="宋体" w:cs="Times New Roman"/>
                <w:bCs/>
                <w:szCs w:val="21"/>
              </w:rPr>
              <w:t>100</w:t>
            </w:r>
          </w:p>
        </w:tc>
        <w:tc>
          <w:tcPr>
            <w:tcW w:w="465" w:type="pct"/>
            <w:vAlign w:val="center"/>
          </w:tcPr>
          <w:p w14:paraId="6E78EBAA">
            <w:pPr>
              <w:ind w:left="-53" w:leftChars="-25" w:right="-53" w:rightChars="-25"/>
              <w:jc w:val="center"/>
              <w:rPr>
                <w:rFonts w:eastAsia="宋体" w:cs="Times New Roman"/>
                <w:bCs/>
                <w:szCs w:val="21"/>
              </w:rPr>
            </w:pPr>
            <w:r>
              <w:rPr>
                <w:rFonts w:eastAsia="宋体" w:cs="Times New Roman"/>
                <w:bCs/>
                <w:szCs w:val="21"/>
              </w:rPr>
              <w:t>实施</w:t>
            </w:r>
          </w:p>
          <w:p w14:paraId="2FF5BA8A">
            <w:pPr>
              <w:ind w:left="-53" w:leftChars="-25" w:right="-53" w:rightChars="-25"/>
              <w:jc w:val="center"/>
              <w:rPr>
                <w:rFonts w:eastAsia="宋体" w:cs="Times New Roman"/>
                <w:bCs/>
                <w:szCs w:val="21"/>
              </w:rPr>
            </w:pPr>
            <w:r>
              <w:rPr>
                <w:rFonts w:eastAsia="宋体" w:cs="Times New Roman"/>
                <w:bCs/>
                <w:szCs w:val="21"/>
              </w:rPr>
              <w:t>100</w:t>
            </w:r>
          </w:p>
        </w:tc>
        <w:tc>
          <w:tcPr>
            <w:tcW w:w="299" w:type="pct"/>
            <w:vAlign w:val="center"/>
          </w:tcPr>
          <w:p w14:paraId="01021BA0">
            <w:pPr>
              <w:ind w:left="-53" w:leftChars="-25" w:right="-53" w:rightChars="-25"/>
              <w:jc w:val="center"/>
              <w:rPr>
                <w:rFonts w:eastAsia="宋体" w:cs="Times New Roman"/>
                <w:szCs w:val="21"/>
              </w:rPr>
            </w:pPr>
            <w:r>
              <w:rPr>
                <w:rFonts w:eastAsia="宋体" w:cs="Times New Roman"/>
                <w:bCs/>
                <w:szCs w:val="21"/>
              </w:rPr>
              <w:t>参考性</w:t>
            </w:r>
          </w:p>
        </w:tc>
      </w:tr>
      <w:tr w14:paraId="47B377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4" w:type="pct"/>
            <w:vMerge w:val="continue"/>
            <w:vAlign w:val="center"/>
          </w:tcPr>
          <w:p w14:paraId="657BDFF9">
            <w:pPr>
              <w:ind w:left="-53" w:leftChars="-25" w:right="-53" w:rightChars="-25"/>
              <w:jc w:val="center"/>
              <w:rPr>
                <w:rFonts w:eastAsia="宋体" w:cs="Times New Roman"/>
                <w:szCs w:val="21"/>
              </w:rPr>
            </w:pPr>
          </w:p>
        </w:tc>
        <w:tc>
          <w:tcPr>
            <w:tcW w:w="260" w:type="pct"/>
            <w:vMerge w:val="continue"/>
            <w:vAlign w:val="center"/>
          </w:tcPr>
          <w:p w14:paraId="5C4C3563">
            <w:pPr>
              <w:ind w:left="-53" w:leftChars="-25" w:right="-53" w:rightChars="-25"/>
              <w:rPr>
                <w:rFonts w:eastAsia="宋体" w:cs="Times New Roman"/>
                <w:szCs w:val="21"/>
              </w:rPr>
            </w:pPr>
          </w:p>
        </w:tc>
        <w:tc>
          <w:tcPr>
            <w:tcW w:w="162" w:type="pct"/>
            <w:vAlign w:val="center"/>
          </w:tcPr>
          <w:p w14:paraId="72A90050">
            <w:pPr>
              <w:ind w:left="-53" w:leftChars="-25" w:right="-53" w:rightChars="-25"/>
              <w:jc w:val="center"/>
              <w:rPr>
                <w:rFonts w:eastAsia="宋体" w:cs="Times New Roman"/>
                <w:szCs w:val="21"/>
              </w:rPr>
            </w:pPr>
            <w:r>
              <w:rPr>
                <w:rFonts w:eastAsia="宋体" w:cs="Times New Roman"/>
                <w:szCs w:val="21"/>
              </w:rPr>
              <w:t>38</w:t>
            </w:r>
          </w:p>
        </w:tc>
        <w:tc>
          <w:tcPr>
            <w:tcW w:w="1001" w:type="pct"/>
            <w:vAlign w:val="center"/>
          </w:tcPr>
          <w:p w14:paraId="587DE5BC">
            <w:pPr>
              <w:ind w:left="-53" w:leftChars="-25" w:right="-53" w:rightChars="-25"/>
              <w:rPr>
                <w:rFonts w:eastAsia="宋体" w:cs="Times New Roman"/>
                <w:szCs w:val="21"/>
              </w:rPr>
            </w:pPr>
            <w:r>
              <w:rPr>
                <w:rFonts w:eastAsia="宋体" w:cs="Times New Roman"/>
                <w:bCs/>
                <w:szCs w:val="21"/>
              </w:rPr>
              <w:t>政府绿色采购比例</w:t>
            </w:r>
          </w:p>
        </w:tc>
        <w:tc>
          <w:tcPr>
            <w:tcW w:w="222" w:type="pct"/>
            <w:vAlign w:val="center"/>
          </w:tcPr>
          <w:p w14:paraId="70E3540E">
            <w:pPr>
              <w:ind w:left="-53" w:leftChars="-25" w:right="-53" w:rightChars="-25"/>
              <w:jc w:val="center"/>
              <w:rPr>
                <w:rFonts w:eastAsia="宋体" w:cs="Times New Roman"/>
                <w:szCs w:val="21"/>
              </w:rPr>
            </w:pPr>
            <w:r>
              <w:rPr>
                <w:rFonts w:eastAsia="宋体" w:cs="Times New Roman"/>
                <w:szCs w:val="21"/>
              </w:rPr>
              <w:t>%</w:t>
            </w:r>
          </w:p>
        </w:tc>
        <w:tc>
          <w:tcPr>
            <w:tcW w:w="433" w:type="pct"/>
            <w:vAlign w:val="center"/>
          </w:tcPr>
          <w:p w14:paraId="5C1C9977">
            <w:pPr>
              <w:ind w:left="-53" w:leftChars="-25" w:right="-53" w:rightChars="-25"/>
              <w:jc w:val="center"/>
              <w:rPr>
                <w:rFonts w:eastAsia="宋体" w:cs="Times New Roman"/>
                <w:szCs w:val="21"/>
              </w:rPr>
            </w:pPr>
            <w:r>
              <w:rPr>
                <w:rFonts w:eastAsia="宋体" w:cs="Times New Roman"/>
                <w:bCs/>
                <w:szCs w:val="21"/>
              </w:rPr>
              <w:t>≥80</w:t>
            </w:r>
          </w:p>
        </w:tc>
        <w:tc>
          <w:tcPr>
            <w:tcW w:w="473" w:type="pct"/>
            <w:vAlign w:val="center"/>
          </w:tcPr>
          <w:p w14:paraId="50385826">
            <w:pPr>
              <w:ind w:left="-53" w:leftChars="-25" w:right="-53" w:rightChars="-25"/>
              <w:jc w:val="center"/>
              <w:rPr>
                <w:rFonts w:eastAsia="宋体" w:cs="Times New Roman"/>
                <w:szCs w:val="21"/>
              </w:rPr>
            </w:pPr>
            <w:r>
              <w:rPr>
                <w:rFonts w:hint="eastAsia" w:eastAsia="宋体" w:cs="Times New Roman"/>
                <w:szCs w:val="21"/>
              </w:rPr>
              <w:t>80</w:t>
            </w:r>
          </w:p>
        </w:tc>
        <w:tc>
          <w:tcPr>
            <w:tcW w:w="564" w:type="pct"/>
            <w:vAlign w:val="center"/>
          </w:tcPr>
          <w:p w14:paraId="1C9A958E">
            <w:pPr>
              <w:ind w:left="-53" w:leftChars="-25" w:right="-53" w:rightChars="-25"/>
              <w:jc w:val="center"/>
              <w:rPr>
                <w:rFonts w:eastAsia="宋体" w:cs="Times New Roman"/>
                <w:szCs w:val="21"/>
              </w:rPr>
            </w:pPr>
            <w:r>
              <w:rPr>
                <w:rFonts w:eastAsia="宋体" w:cs="Times New Roman"/>
                <w:bCs/>
                <w:szCs w:val="21"/>
              </w:rPr>
              <w:t>已完成</w:t>
            </w:r>
          </w:p>
        </w:tc>
        <w:tc>
          <w:tcPr>
            <w:tcW w:w="483" w:type="pct"/>
            <w:vAlign w:val="center"/>
          </w:tcPr>
          <w:p w14:paraId="716823B4">
            <w:pPr>
              <w:ind w:left="-53" w:leftChars="-25" w:right="-53" w:rightChars="-25"/>
              <w:jc w:val="center"/>
              <w:rPr>
                <w:rFonts w:eastAsia="宋体" w:cs="Times New Roman"/>
                <w:bCs/>
                <w:szCs w:val="21"/>
              </w:rPr>
            </w:pPr>
            <w:r>
              <w:rPr>
                <w:rFonts w:eastAsia="宋体" w:cs="Times New Roman"/>
                <w:bCs/>
                <w:szCs w:val="21"/>
              </w:rPr>
              <w:t>100</w:t>
            </w:r>
          </w:p>
        </w:tc>
        <w:tc>
          <w:tcPr>
            <w:tcW w:w="479" w:type="pct"/>
            <w:vAlign w:val="center"/>
          </w:tcPr>
          <w:p w14:paraId="432E964B">
            <w:pPr>
              <w:ind w:left="-53" w:leftChars="-25" w:right="-53" w:rightChars="-25"/>
              <w:jc w:val="center"/>
              <w:rPr>
                <w:rFonts w:eastAsia="宋体" w:cs="Times New Roman"/>
                <w:bCs/>
                <w:szCs w:val="21"/>
              </w:rPr>
            </w:pPr>
            <w:r>
              <w:rPr>
                <w:rFonts w:eastAsia="宋体" w:cs="Times New Roman"/>
                <w:bCs/>
                <w:szCs w:val="21"/>
              </w:rPr>
              <w:t>100</w:t>
            </w:r>
          </w:p>
        </w:tc>
        <w:tc>
          <w:tcPr>
            <w:tcW w:w="465" w:type="pct"/>
            <w:vAlign w:val="center"/>
          </w:tcPr>
          <w:p w14:paraId="6D489648">
            <w:pPr>
              <w:ind w:left="-53" w:leftChars="-25" w:right="-53" w:rightChars="-25"/>
              <w:jc w:val="center"/>
              <w:rPr>
                <w:rFonts w:eastAsia="宋体" w:cs="Times New Roman"/>
                <w:bCs/>
                <w:szCs w:val="21"/>
              </w:rPr>
            </w:pPr>
            <w:r>
              <w:rPr>
                <w:rFonts w:eastAsia="宋体" w:cs="Times New Roman"/>
                <w:bCs/>
                <w:szCs w:val="21"/>
              </w:rPr>
              <w:t>100</w:t>
            </w:r>
          </w:p>
        </w:tc>
        <w:tc>
          <w:tcPr>
            <w:tcW w:w="299" w:type="pct"/>
            <w:vAlign w:val="center"/>
          </w:tcPr>
          <w:p w14:paraId="14BA3C99">
            <w:pPr>
              <w:ind w:left="-53" w:leftChars="-25" w:right="-53" w:rightChars="-25"/>
              <w:jc w:val="center"/>
              <w:rPr>
                <w:rFonts w:eastAsia="宋体" w:cs="Times New Roman"/>
                <w:szCs w:val="21"/>
              </w:rPr>
            </w:pPr>
            <w:r>
              <w:rPr>
                <w:rFonts w:eastAsia="宋体" w:cs="Times New Roman"/>
                <w:bCs/>
                <w:szCs w:val="21"/>
              </w:rPr>
              <w:t>约束性</w:t>
            </w:r>
          </w:p>
        </w:tc>
      </w:tr>
      <w:tr w14:paraId="42D802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4" w:type="pct"/>
            <w:vMerge w:val="restart"/>
            <w:vAlign w:val="center"/>
          </w:tcPr>
          <w:p w14:paraId="4AFE1804">
            <w:pPr>
              <w:ind w:left="-53" w:leftChars="-25" w:right="-53" w:rightChars="-25"/>
              <w:jc w:val="center"/>
              <w:rPr>
                <w:rFonts w:eastAsia="宋体" w:cs="Times New Roman"/>
                <w:szCs w:val="21"/>
              </w:rPr>
            </w:pPr>
            <w:r>
              <w:rPr>
                <w:rFonts w:eastAsia="宋体" w:cs="Times New Roman"/>
                <w:bCs/>
                <w:szCs w:val="21"/>
              </w:rPr>
              <w:t>生态文化</w:t>
            </w:r>
          </w:p>
          <w:p w14:paraId="10EC2959">
            <w:pPr>
              <w:ind w:left="-53" w:leftChars="-25" w:right="-53" w:rightChars="-25"/>
              <w:jc w:val="center"/>
              <w:rPr>
                <w:rFonts w:eastAsia="宋体" w:cs="Times New Roman"/>
                <w:szCs w:val="21"/>
              </w:rPr>
            </w:pPr>
          </w:p>
        </w:tc>
        <w:tc>
          <w:tcPr>
            <w:tcW w:w="260" w:type="pct"/>
            <w:vMerge w:val="restart"/>
            <w:vAlign w:val="center"/>
          </w:tcPr>
          <w:p w14:paraId="4EFAF148">
            <w:pPr>
              <w:ind w:left="-53" w:leftChars="-25" w:right="-53" w:rightChars="-25"/>
              <w:rPr>
                <w:rFonts w:eastAsia="宋体" w:cs="Times New Roman"/>
                <w:szCs w:val="21"/>
              </w:rPr>
            </w:pPr>
            <w:r>
              <w:rPr>
                <w:rFonts w:eastAsia="宋体" w:cs="Times New Roman"/>
                <w:bCs/>
                <w:szCs w:val="21"/>
              </w:rPr>
              <w:t>（十）观念意识普及</w:t>
            </w:r>
          </w:p>
        </w:tc>
        <w:tc>
          <w:tcPr>
            <w:tcW w:w="162" w:type="pct"/>
            <w:vAlign w:val="center"/>
          </w:tcPr>
          <w:p w14:paraId="0C07289B">
            <w:pPr>
              <w:ind w:left="-53" w:leftChars="-25" w:right="-53" w:rightChars="-25"/>
              <w:jc w:val="center"/>
              <w:rPr>
                <w:rFonts w:eastAsia="宋体" w:cs="Times New Roman"/>
                <w:szCs w:val="21"/>
              </w:rPr>
            </w:pPr>
            <w:r>
              <w:rPr>
                <w:rFonts w:eastAsia="宋体" w:cs="Times New Roman"/>
                <w:szCs w:val="21"/>
              </w:rPr>
              <w:t>39</w:t>
            </w:r>
          </w:p>
        </w:tc>
        <w:tc>
          <w:tcPr>
            <w:tcW w:w="1001" w:type="pct"/>
            <w:vAlign w:val="center"/>
          </w:tcPr>
          <w:p w14:paraId="09AD86CC">
            <w:pPr>
              <w:ind w:left="-53" w:leftChars="-25" w:right="-53" w:rightChars="-25"/>
              <w:rPr>
                <w:rFonts w:eastAsia="宋体" w:cs="Times New Roman"/>
                <w:szCs w:val="21"/>
              </w:rPr>
            </w:pPr>
            <w:r>
              <w:rPr>
                <w:rFonts w:eastAsia="宋体" w:cs="Times New Roman"/>
                <w:bCs/>
                <w:szCs w:val="21"/>
              </w:rPr>
              <w:t>公众对生态文明建设的参与度</w:t>
            </w:r>
          </w:p>
        </w:tc>
        <w:tc>
          <w:tcPr>
            <w:tcW w:w="222" w:type="pct"/>
            <w:vAlign w:val="center"/>
          </w:tcPr>
          <w:p w14:paraId="6118F455">
            <w:pPr>
              <w:ind w:left="-53" w:leftChars="-25" w:right="-53" w:rightChars="-25"/>
              <w:jc w:val="center"/>
              <w:rPr>
                <w:rFonts w:eastAsia="宋体" w:cs="Times New Roman"/>
                <w:szCs w:val="21"/>
              </w:rPr>
            </w:pPr>
            <w:r>
              <w:rPr>
                <w:rFonts w:eastAsia="宋体" w:cs="Times New Roman"/>
                <w:szCs w:val="21"/>
              </w:rPr>
              <w:t>%</w:t>
            </w:r>
          </w:p>
        </w:tc>
        <w:tc>
          <w:tcPr>
            <w:tcW w:w="433" w:type="pct"/>
            <w:vAlign w:val="center"/>
          </w:tcPr>
          <w:p w14:paraId="156251E0">
            <w:pPr>
              <w:ind w:left="-53" w:leftChars="-25" w:right="-53" w:rightChars="-25"/>
              <w:jc w:val="center"/>
              <w:rPr>
                <w:rFonts w:eastAsia="宋体" w:cs="Times New Roman"/>
                <w:szCs w:val="21"/>
              </w:rPr>
            </w:pPr>
            <w:r>
              <w:rPr>
                <w:rFonts w:eastAsia="宋体" w:cs="Times New Roman"/>
                <w:bCs/>
                <w:szCs w:val="21"/>
              </w:rPr>
              <w:t>≥90</w:t>
            </w:r>
          </w:p>
        </w:tc>
        <w:tc>
          <w:tcPr>
            <w:tcW w:w="473" w:type="pct"/>
            <w:vAlign w:val="center"/>
          </w:tcPr>
          <w:p w14:paraId="77EBAE8D">
            <w:pPr>
              <w:ind w:left="-53" w:leftChars="-25" w:right="-53" w:rightChars="-25"/>
              <w:jc w:val="center"/>
              <w:rPr>
                <w:rFonts w:eastAsia="宋体" w:cs="Times New Roman"/>
                <w:szCs w:val="21"/>
              </w:rPr>
            </w:pPr>
            <w:r>
              <w:rPr>
                <w:rFonts w:eastAsia="宋体" w:cs="Times New Roman"/>
                <w:szCs w:val="21"/>
              </w:rPr>
              <w:t>98.85</w:t>
            </w:r>
          </w:p>
        </w:tc>
        <w:tc>
          <w:tcPr>
            <w:tcW w:w="564" w:type="pct"/>
            <w:vAlign w:val="center"/>
          </w:tcPr>
          <w:p w14:paraId="27944F8F">
            <w:pPr>
              <w:ind w:left="-53" w:leftChars="-25" w:right="-53" w:rightChars="-25"/>
              <w:jc w:val="center"/>
              <w:rPr>
                <w:rFonts w:eastAsia="宋体" w:cs="Times New Roman"/>
                <w:szCs w:val="21"/>
              </w:rPr>
            </w:pPr>
            <w:r>
              <w:rPr>
                <w:rFonts w:eastAsia="宋体" w:cs="Times New Roman"/>
                <w:bCs/>
                <w:szCs w:val="21"/>
              </w:rPr>
              <w:t>已完成</w:t>
            </w:r>
          </w:p>
        </w:tc>
        <w:tc>
          <w:tcPr>
            <w:tcW w:w="483" w:type="pct"/>
            <w:vAlign w:val="center"/>
          </w:tcPr>
          <w:p w14:paraId="7FBCEFFF">
            <w:pPr>
              <w:ind w:left="-53" w:leftChars="-25" w:right="-53" w:rightChars="-25"/>
              <w:jc w:val="center"/>
              <w:rPr>
                <w:rFonts w:eastAsia="宋体" w:cs="Times New Roman"/>
                <w:bCs/>
                <w:szCs w:val="21"/>
              </w:rPr>
            </w:pPr>
            <w:r>
              <w:rPr>
                <w:rFonts w:eastAsia="宋体" w:cs="Times New Roman"/>
                <w:bCs/>
                <w:szCs w:val="21"/>
              </w:rPr>
              <w:t>≥99</w:t>
            </w:r>
          </w:p>
        </w:tc>
        <w:tc>
          <w:tcPr>
            <w:tcW w:w="479" w:type="pct"/>
            <w:vAlign w:val="center"/>
          </w:tcPr>
          <w:p w14:paraId="0E4FFBAE">
            <w:pPr>
              <w:ind w:left="-53" w:leftChars="-25" w:right="-53" w:rightChars="-25"/>
              <w:jc w:val="center"/>
              <w:rPr>
                <w:rFonts w:eastAsia="宋体" w:cs="Times New Roman"/>
                <w:bCs/>
                <w:szCs w:val="21"/>
              </w:rPr>
            </w:pPr>
            <w:r>
              <w:rPr>
                <w:rFonts w:eastAsia="宋体" w:cs="Times New Roman"/>
                <w:bCs/>
                <w:szCs w:val="21"/>
              </w:rPr>
              <w:t>≥99</w:t>
            </w:r>
          </w:p>
        </w:tc>
        <w:tc>
          <w:tcPr>
            <w:tcW w:w="465" w:type="pct"/>
            <w:vAlign w:val="center"/>
          </w:tcPr>
          <w:p w14:paraId="2D77075F">
            <w:pPr>
              <w:ind w:left="-53" w:leftChars="-25" w:right="-53" w:rightChars="-25"/>
              <w:jc w:val="center"/>
              <w:rPr>
                <w:rFonts w:eastAsia="宋体" w:cs="Times New Roman"/>
                <w:bCs/>
                <w:szCs w:val="21"/>
              </w:rPr>
            </w:pPr>
            <w:r>
              <w:rPr>
                <w:rFonts w:eastAsia="宋体" w:cs="Times New Roman"/>
                <w:bCs/>
                <w:szCs w:val="21"/>
              </w:rPr>
              <w:t>≥99</w:t>
            </w:r>
          </w:p>
        </w:tc>
        <w:tc>
          <w:tcPr>
            <w:tcW w:w="299" w:type="pct"/>
            <w:vAlign w:val="center"/>
          </w:tcPr>
          <w:p w14:paraId="4A629417">
            <w:pPr>
              <w:ind w:left="-53" w:leftChars="-25" w:right="-53" w:rightChars="-25"/>
              <w:jc w:val="center"/>
              <w:rPr>
                <w:rFonts w:eastAsia="宋体" w:cs="Times New Roman"/>
                <w:szCs w:val="21"/>
              </w:rPr>
            </w:pPr>
            <w:r>
              <w:rPr>
                <w:rFonts w:eastAsia="宋体" w:cs="Times New Roman"/>
                <w:bCs/>
                <w:szCs w:val="21"/>
              </w:rPr>
              <w:t>参考性</w:t>
            </w:r>
          </w:p>
        </w:tc>
      </w:tr>
      <w:tr w14:paraId="0B3468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4" w:type="pct"/>
            <w:vMerge w:val="continue"/>
            <w:vAlign w:val="center"/>
          </w:tcPr>
          <w:p w14:paraId="73DB77E3">
            <w:pPr>
              <w:ind w:left="-53" w:leftChars="-25" w:right="-53" w:rightChars="-25"/>
              <w:jc w:val="center"/>
              <w:rPr>
                <w:rFonts w:eastAsia="宋体" w:cs="Times New Roman"/>
                <w:szCs w:val="21"/>
              </w:rPr>
            </w:pPr>
          </w:p>
        </w:tc>
        <w:tc>
          <w:tcPr>
            <w:tcW w:w="260" w:type="pct"/>
            <w:vMerge w:val="continue"/>
            <w:vAlign w:val="center"/>
          </w:tcPr>
          <w:p w14:paraId="45933E78">
            <w:pPr>
              <w:ind w:left="-53" w:leftChars="-25" w:right="-53" w:rightChars="-25"/>
              <w:jc w:val="center"/>
              <w:rPr>
                <w:rFonts w:eastAsia="宋体" w:cs="Times New Roman"/>
                <w:szCs w:val="21"/>
              </w:rPr>
            </w:pPr>
          </w:p>
        </w:tc>
        <w:tc>
          <w:tcPr>
            <w:tcW w:w="162" w:type="pct"/>
            <w:vAlign w:val="center"/>
          </w:tcPr>
          <w:p w14:paraId="3CD056F0">
            <w:pPr>
              <w:ind w:left="-53" w:leftChars="-25" w:right="-53" w:rightChars="-25"/>
              <w:jc w:val="center"/>
              <w:rPr>
                <w:rFonts w:eastAsia="宋体" w:cs="Times New Roman"/>
                <w:szCs w:val="21"/>
              </w:rPr>
            </w:pPr>
            <w:r>
              <w:rPr>
                <w:rFonts w:eastAsia="宋体" w:cs="Times New Roman"/>
                <w:szCs w:val="21"/>
              </w:rPr>
              <w:t>40</w:t>
            </w:r>
          </w:p>
        </w:tc>
        <w:tc>
          <w:tcPr>
            <w:tcW w:w="1001" w:type="pct"/>
            <w:vAlign w:val="center"/>
          </w:tcPr>
          <w:p w14:paraId="1FA40AC2">
            <w:pPr>
              <w:ind w:left="-53" w:leftChars="-25" w:right="-53" w:rightChars="-25"/>
              <w:rPr>
                <w:rFonts w:eastAsia="宋体" w:cs="Times New Roman"/>
                <w:szCs w:val="21"/>
              </w:rPr>
            </w:pPr>
            <w:r>
              <w:rPr>
                <w:rFonts w:eastAsia="宋体" w:cs="Times New Roman"/>
                <w:bCs/>
                <w:szCs w:val="21"/>
              </w:rPr>
              <w:t>公众对生态文明建设的满意度</w:t>
            </w:r>
          </w:p>
        </w:tc>
        <w:tc>
          <w:tcPr>
            <w:tcW w:w="222" w:type="pct"/>
            <w:vAlign w:val="center"/>
          </w:tcPr>
          <w:p w14:paraId="733D7895">
            <w:pPr>
              <w:ind w:left="-53" w:leftChars="-25" w:right="-53" w:rightChars="-25"/>
              <w:jc w:val="center"/>
              <w:rPr>
                <w:rFonts w:eastAsia="宋体" w:cs="Times New Roman"/>
                <w:szCs w:val="21"/>
              </w:rPr>
            </w:pPr>
            <w:r>
              <w:rPr>
                <w:rFonts w:eastAsia="宋体" w:cs="Times New Roman"/>
                <w:szCs w:val="21"/>
              </w:rPr>
              <w:t>%</w:t>
            </w:r>
          </w:p>
        </w:tc>
        <w:tc>
          <w:tcPr>
            <w:tcW w:w="433" w:type="pct"/>
            <w:vAlign w:val="center"/>
          </w:tcPr>
          <w:p w14:paraId="1847F09B">
            <w:pPr>
              <w:ind w:left="-53" w:leftChars="-25" w:right="-53" w:rightChars="-25"/>
              <w:jc w:val="center"/>
              <w:rPr>
                <w:rFonts w:eastAsia="宋体" w:cs="Times New Roman"/>
                <w:szCs w:val="21"/>
              </w:rPr>
            </w:pPr>
            <w:r>
              <w:rPr>
                <w:rFonts w:eastAsia="宋体" w:cs="Times New Roman"/>
                <w:bCs/>
                <w:szCs w:val="21"/>
              </w:rPr>
              <w:t>≥90</w:t>
            </w:r>
          </w:p>
        </w:tc>
        <w:tc>
          <w:tcPr>
            <w:tcW w:w="473" w:type="pct"/>
            <w:vAlign w:val="center"/>
          </w:tcPr>
          <w:p w14:paraId="1AE6232F">
            <w:pPr>
              <w:ind w:left="-53" w:leftChars="-25" w:right="-53" w:rightChars="-25"/>
              <w:jc w:val="center"/>
              <w:rPr>
                <w:rFonts w:eastAsia="宋体" w:cs="Times New Roman"/>
                <w:szCs w:val="21"/>
              </w:rPr>
            </w:pPr>
            <w:r>
              <w:rPr>
                <w:rFonts w:eastAsia="宋体" w:cs="Times New Roman"/>
              </w:rPr>
              <w:t>99.44</w:t>
            </w:r>
          </w:p>
        </w:tc>
        <w:tc>
          <w:tcPr>
            <w:tcW w:w="564" w:type="pct"/>
            <w:vAlign w:val="center"/>
          </w:tcPr>
          <w:p w14:paraId="09E07062">
            <w:pPr>
              <w:ind w:left="-53" w:leftChars="-25" w:right="-53" w:rightChars="-25"/>
              <w:jc w:val="center"/>
              <w:rPr>
                <w:rFonts w:eastAsia="宋体" w:cs="Times New Roman"/>
                <w:szCs w:val="21"/>
              </w:rPr>
            </w:pPr>
            <w:r>
              <w:rPr>
                <w:rFonts w:eastAsia="宋体" w:cs="Times New Roman"/>
                <w:bCs/>
                <w:szCs w:val="21"/>
              </w:rPr>
              <w:t>已完成</w:t>
            </w:r>
          </w:p>
        </w:tc>
        <w:tc>
          <w:tcPr>
            <w:tcW w:w="483" w:type="pct"/>
            <w:vAlign w:val="center"/>
          </w:tcPr>
          <w:p w14:paraId="02441CD2">
            <w:pPr>
              <w:ind w:left="-53" w:leftChars="-25" w:right="-53" w:rightChars="-25"/>
              <w:jc w:val="center"/>
              <w:rPr>
                <w:rFonts w:eastAsia="宋体" w:cs="Times New Roman"/>
                <w:bCs/>
                <w:szCs w:val="21"/>
              </w:rPr>
            </w:pPr>
            <w:r>
              <w:rPr>
                <w:rFonts w:hint="eastAsia" w:eastAsia="宋体" w:cs="Times New Roman"/>
                <w:bCs/>
                <w:szCs w:val="21"/>
              </w:rPr>
              <w:t>100</w:t>
            </w:r>
          </w:p>
        </w:tc>
        <w:tc>
          <w:tcPr>
            <w:tcW w:w="479" w:type="pct"/>
            <w:vAlign w:val="center"/>
          </w:tcPr>
          <w:p w14:paraId="0A126721">
            <w:pPr>
              <w:ind w:left="-53" w:leftChars="-25" w:right="-53" w:rightChars="-25"/>
              <w:jc w:val="center"/>
              <w:rPr>
                <w:rFonts w:eastAsia="宋体" w:cs="Times New Roman"/>
                <w:bCs/>
                <w:szCs w:val="21"/>
              </w:rPr>
            </w:pPr>
            <w:r>
              <w:rPr>
                <w:rFonts w:hint="eastAsia" w:eastAsia="宋体" w:cs="Times New Roman"/>
                <w:bCs/>
                <w:szCs w:val="21"/>
              </w:rPr>
              <w:t>100</w:t>
            </w:r>
          </w:p>
        </w:tc>
        <w:tc>
          <w:tcPr>
            <w:tcW w:w="465" w:type="pct"/>
            <w:vAlign w:val="center"/>
          </w:tcPr>
          <w:p w14:paraId="7F0B115D">
            <w:pPr>
              <w:ind w:left="-53" w:leftChars="-25" w:right="-53" w:rightChars="-25"/>
              <w:jc w:val="center"/>
              <w:rPr>
                <w:rFonts w:eastAsia="宋体" w:cs="Times New Roman"/>
                <w:bCs/>
                <w:szCs w:val="21"/>
              </w:rPr>
            </w:pPr>
            <w:r>
              <w:rPr>
                <w:rFonts w:hint="eastAsia" w:eastAsia="宋体" w:cs="Times New Roman"/>
                <w:bCs/>
                <w:szCs w:val="21"/>
              </w:rPr>
              <w:t>100</w:t>
            </w:r>
          </w:p>
        </w:tc>
        <w:tc>
          <w:tcPr>
            <w:tcW w:w="299" w:type="pct"/>
            <w:vAlign w:val="center"/>
          </w:tcPr>
          <w:p w14:paraId="66A60C58">
            <w:pPr>
              <w:ind w:left="-53" w:leftChars="-25" w:right="-53" w:rightChars="-25"/>
              <w:jc w:val="center"/>
              <w:rPr>
                <w:rFonts w:eastAsia="宋体" w:cs="Times New Roman"/>
                <w:szCs w:val="21"/>
              </w:rPr>
            </w:pPr>
            <w:r>
              <w:rPr>
                <w:rFonts w:eastAsia="宋体" w:cs="Times New Roman"/>
                <w:bCs/>
                <w:szCs w:val="21"/>
              </w:rPr>
              <w:t>参考性</w:t>
            </w:r>
          </w:p>
        </w:tc>
      </w:tr>
      <w:tr w14:paraId="3BC70E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4" w:type="pct"/>
            <w:vMerge w:val="continue"/>
            <w:vAlign w:val="center"/>
          </w:tcPr>
          <w:p w14:paraId="74944379">
            <w:pPr>
              <w:ind w:left="-53" w:leftChars="-25" w:right="-53" w:rightChars="-25"/>
              <w:jc w:val="center"/>
              <w:rPr>
                <w:rFonts w:eastAsia="宋体" w:cs="Times New Roman"/>
                <w:szCs w:val="21"/>
              </w:rPr>
            </w:pPr>
          </w:p>
        </w:tc>
        <w:tc>
          <w:tcPr>
            <w:tcW w:w="260" w:type="pct"/>
            <w:vMerge w:val="continue"/>
            <w:vAlign w:val="center"/>
          </w:tcPr>
          <w:p w14:paraId="76ED5FAE">
            <w:pPr>
              <w:ind w:left="-53" w:leftChars="-25" w:right="-53" w:rightChars="-25"/>
              <w:jc w:val="center"/>
              <w:rPr>
                <w:rFonts w:eastAsia="宋体" w:cs="Times New Roman"/>
                <w:szCs w:val="21"/>
              </w:rPr>
            </w:pPr>
          </w:p>
        </w:tc>
        <w:tc>
          <w:tcPr>
            <w:tcW w:w="162" w:type="pct"/>
            <w:vAlign w:val="center"/>
          </w:tcPr>
          <w:p w14:paraId="0B7C979E">
            <w:pPr>
              <w:ind w:left="-53" w:leftChars="-25" w:right="-53" w:rightChars="-25"/>
              <w:jc w:val="center"/>
              <w:rPr>
                <w:rFonts w:eastAsia="宋体" w:cs="Times New Roman"/>
                <w:szCs w:val="21"/>
              </w:rPr>
            </w:pPr>
            <w:r>
              <w:rPr>
                <w:rFonts w:eastAsia="宋体" w:cs="Times New Roman"/>
                <w:szCs w:val="21"/>
              </w:rPr>
              <w:t>41</w:t>
            </w:r>
          </w:p>
        </w:tc>
        <w:tc>
          <w:tcPr>
            <w:tcW w:w="1001" w:type="pct"/>
            <w:vAlign w:val="center"/>
          </w:tcPr>
          <w:p w14:paraId="45D1302F">
            <w:pPr>
              <w:ind w:left="-53" w:leftChars="-25" w:right="-53" w:rightChars="-25"/>
              <w:rPr>
                <w:rFonts w:eastAsia="宋体" w:cs="Times New Roman"/>
                <w:szCs w:val="21"/>
              </w:rPr>
            </w:pPr>
            <w:r>
              <w:rPr>
                <w:rFonts w:eastAsia="宋体" w:cs="Times New Roman"/>
                <w:bCs/>
                <w:szCs w:val="21"/>
              </w:rPr>
              <w:t>党政领导干部参加生态文明培训的人数比例</w:t>
            </w:r>
          </w:p>
        </w:tc>
        <w:tc>
          <w:tcPr>
            <w:tcW w:w="222" w:type="pct"/>
            <w:vAlign w:val="center"/>
          </w:tcPr>
          <w:p w14:paraId="0532663A">
            <w:pPr>
              <w:ind w:left="-53" w:leftChars="-25" w:right="-53" w:rightChars="-25"/>
              <w:jc w:val="center"/>
              <w:rPr>
                <w:rFonts w:eastAsia="宋体" w:cs="Times New Roman"/>
                <w:szCs w:val="21"/>
              </w:rPr>
            </w:pPr>
            <w:r>
              <w:rPr>
                <w:rFonts w:eastAsia="宋体" w:cs="Times New Roman"/>
                <w:szCs w:val="21"/>
              </w:rPr>
              <w:t>%</w:t>
            </w:r>
          </w:p>
        </w:tc>
        <w:tc>
          <w:tcPr>
            <w:tcW w:w="433" w:type="pct"/>
            <w:vAlign w:val="center"/>
          </w:tcPr>
          <w:p w14:paraId="798868CD">
            <w:pPr>
              <w:ind w:left="-53" w:leftChars="-25" w:right="-53" w:rightChars="-25"/>
              <w:jc w:val="center"/>
              <w:rPr>
                <w:rFonts w:eastAsia="宋体" w:cs="Times New Roman"/>
                <w:szCs w:val="21"/>
              </w:rPr>
            </w:pPr>
            <w:r>
              <w:rPr>
                <w:rFonts w:eastAsia="宋体" w:cs="Times New Roman"/>
                <w:bCs/>
                <w:szCs w:val="21"/>
              </w:rPr>
              <w:t>100</w:t>
            </w:r>
          </w:p>
        </w:tc>
        <w:tc>
          <w:tcPr>
            <w:tcW w:w="473" w:type="pct"/>
            <w:vAlign w:val="center"/>
          </w:tcPr>
          <w:p w14:paraId="01298759">
            <w:pPr>
              <w:ind w:left="-53" w:leftChars="-25" w:right="-53" w:rightChars="-25"/>
              <w:jc w:val="center"/>
              <w:rPr>
                <w:rFonts w:eastAsia="宋体" w:cs="Times New Roman"/>
                <w:szCs w:val="21"/>
              </w:rPr>
            </w:pPr>
            <w:r>
              <w:rPr>
                <w:rFonts w:eastAsia="宋体" w:cs="Times New Roman"/>
                <w:bCs/>
                <w:szCs w:val="21"/>
              </w:rPr>
              <w:t>100</w:t>
            </w:r>
          </w:p>
        </w:tc>
        <w:tc>
          <w:tcPr>
            <w:tcW w:w="564" w:type="pct"/>
            <w:vAlign w:val="center"/>
          </w:tcPr>
          <w:p w14:paraId="313A1303">
            <w:pPr>
              <w:ind w:left="-53" w:leftChars="-25" w:right="-53" w:rightChars="-25"/>
              <w:jc w:val="center"/>
              <w:rPr>
                <w:rFonts w:eastAsia="宋体" w:cs="Times New Roman"/>
                <w:szCs w:val="21"/>
              </w:rPr>
            </w:pPr>
            <w:r>
              <w:rPr>
                <w:rFonts w:eastAsia="宋体" w:cs="Times New Roman"/>
                <w:bCs/>
                <w:szCs w:val="21"/>
              </w:rPr>
              <w:t>已完成</w:t>
            </w:r>
          </w:p>
        </w:tc>
        <w:tc>
          <w:tcPr>
            <w:tcW w:w="483" w:type="pct"/>
            <w:vAlign w:val="center"/>
          </w:tcPr>
          <w:p w14:paraId="1BF81DFB">
            <w:pPr>
              <w:ind w:left="-53" w:leftChars="-25" w:right="-53" w:rightChars="-25"/>
              <w:jc w:val="center"/>
              <w:rPr>
                <w:rFonts w:eastAsia="宋体" w:cs="Times New Roman"/>
                <w:bCs/>
                <w:szCs w:val="21"/>
              </w:rPr>
            </w:pPr>
            <w:r>
              <w:rPr>
                <w:rFonts w:eastAsia="宋体" w:cs="Times New Roman"/>
                <w:bCs/>
                <w:szCs w:val="21"/>
              </w:rPr>
              <w:t>100</w:t>
            </w:r>
          </w:p>
        </w:tc>
        <w:tc>
          <w:tcPr>
            <w:tcW w:w="479" w:type="pct"/>
            <w:vAlign w:val="center"/>
          </w:tcPr>
          <w:p w14:paraId="18A2D488">
            <w:pPr>
              <w:ind w:left="-53" w:leftChars="-25" w:right="-53" w:rightChars="-25"/>
              <w:jc w:val="center"/>
              <w:rPr>
                <w:rFonts w:eastAsia="宋体" w:cs="Times New Roman"/>
                <w:bCs/>
                <w:szCs w:val="21"/>
              </w:rPr>
            </w:pPr>
            <w:r>
              <w:rPr>
                <w:rFonts w:eastAsia="宋体" w:cs="Times New Roman"/>
                <w:bCs/>
                <w:szCs w:val="21"/>
              </w:rPr>
              <w:t>100</w:t>
            </w:r>
          </w:p>
        </w:tc>
        <w:tc>
          <w:tcPr>
            <w:tcW w:w="465" w:type="pct"/>
            <w:vAlign w:val="center"/>
          </w:tcPr>
          <w:p w14:paraId="39C012ED">
            <w:pPr>
              <w:ind w:left="-53" w:leftChars="-25" w:right="-53" w:rightChars="-25"/>
              <w:jc w:val="center"/>
              <w:rPr>
                <w:rFonts w:eastAsia="宋体" w:cs="Times New Roman"/>
                <w:bCs/>
                <w:szCs w:val="21"/>
              </w:rPr>
            </w:pPr>
            <w:r>
              <w:rPr>
                <w:rFonts w:eastAsia="宋体" w:cs="Times New Roman"/>
                <w:bCs/>
                <w:szCs w:val="21"/>
              </w:rPr>
              <w:t>100</w:t>
            </w:r>
          </w:p>
        </w:tc>
        <w:tc>
          <w:tcPr>
            <w:tcW w:w="299" w:type="pct"/>
            <w:vAlign w:val="center"/>
          </w:tcPr>
          <w:p w14:paraId="18A2E20F">
            <w:pPr>
              <w:ind w:left="-53" w:leftChars="-25" w:right="-53" w:rightChars="-25"/>
              <w:jc w:val="center"/>
              <w:rPr>
                <w:rFonts w:eastAsia="宋体" w:cs="Times New Roman"/>
                <w:szCs w:val="21"/>
              </w:rPr>
            </w:pPr>
            <w:r>
              <w:rPr>
                <w:rFonts w:eastAsia="宋体" w:cs="Times New Roman"/>
                <w:bCs/>
                <w:szCs w:val="21"/>
              </w:rPr>
              <w:t>参考性</w:t>
            </w:r>
          </w:p>
        </w:tc>
      </w:tr>
    </w:tbl>
    <w:p w14:paraId="434ECFA7">
      <w:pPr>
        <w:rPr>
          <w:lang w:val="zh-CN"/>
        </w:rPr>
        <w:sectPr>
          <w:pgSz w:w="16838" w:h="11906" w:orient="landscape"/>
          <w:pgMar w:top="1797" w:right="1440" w:bottom="1797" w:left="1440" w:header="851" w:footer="992" w:gutter="0"/>
          <w:cols w:space="425" w:num="1"/>
          <w:docGrid w:type="lines" w:linePitch="312" w:charSpace="0"/>
        </w:sectPr>
      </w:pPr>
    </w:p>
    <w:p w14:paraId="759BE050">
      <w:pPr>
        <w:pageBreakBefore/>
        <w:spacing w:line="580" w:lineRule="exact"/>
        <w:jc w:val="center"/>
        <w:outlineLvl w:val="0"/>
        <w:rPr>
          <w:rFonts w:ascii="方正小标宋简体" w:hAnsi="Times New Roman" w:eastAsia="方正小标宋简体" w:cs="Times New Roman"/>
          <w:sz w:val="36"/>
          <w:szCs w:val="36"/>
        </w:rPr>
      </w:pPr>
      <w:bookmarkStart w:id="61" w:name="_Toc528335023"/>
      <w:bookmarkStart w:id="62" w:name="_Toc514667660"/>
      <w:bookmarkStart w:id="63" w:name="_Toc8868"/>
      <w:bookmarkStart w:id="64" w:name="_Toc29993"/>
      <w:bookmarkStart w:id="65" w:name="_Toc514668332"/>
      <w:bookmarkStart w:id="66" w:name="_Toc514667666"/>
      <w:r>
        <w:rPr>
          <w:rFonts w:ascii="方正小标宋简体" w:hAnsi="Times New Roman" w:eastAsia="方正小标宋简体" w:cs="Times New Roman"/>
          <w:sz w:val="36"/>
          <w:szCs w:val="36"/>
        </w:rPr>
        <w:t xml:space="preserve">第三章 </w:t>
      </w:r>
      <w:bookmarkEnd w:id="61"/>
      <w:bookmarkEnd w:id="62"/>
      <w:r>
        <w:rPr>
          <w:rFonts w:ascii="方正小标宋简体" w:hAnsi="Times New Roman" w:eastAsia="方正小标宋简体" w:cs="Times New Roman"/>
          <w:sz w:val="36"/>
          <w:szCs w:val="36"/>
        </w:rPr>
        <w:t>落实国土空间规划，优化区域发展布局</w:t>
      </w:r>
      <w:bookmarkEnd w:id="63"/>
      <w:bookmarkEnd w:id="64"/>
    </w:p>
    <w:p w14:paraId="77F95744">
      <w:pPr>
        <w:adjustRightInd w:val="0"/>
        <w:snapToGrid w:val="0"/>
        <w:spacing w:line="580" w:lineRule="exact"/>
        <w:ind w:firstLine="640" w:firstLineChars="200"/>
        <w:rPr>
          <w:rFonts w:ascii="Times New Roman" w:hAnsi="Times New Roman" w:eastAsia="黑体" w:cs="Times New Roman"/>
          <w:bCs/>
          <w:sz w:val="32"/>
          <w:szCs w:val="32"/>
        </w:rPr>
      </w:pPr>
    </w:p>
    <w:p w14:paraId="3395D5CC">
      <w:pPr>
        <w:spacing w:line="580" w:lineRule="exact"/>
        <w:jc w:val="center"/>
        <w:outlineLvl w:val="1"/>
        <w:rPr>
          <w:rFonts w:ascii="Times New Roman" w:hAnsi="Times New Roman" w:eastAsia="黑体" w:cs="Times New Roman"/>
          <w:bCs/>
          <w:sz w:val="32"/>
          <w:szCs w:val="32"/>
        </w:rPr>
      </w:pPr>
      <w:bookmarkStart w:id="67" w:name="_Toc528335024"/>
      <w:bookmarkStart w:id="68" w:name="_Toc24047"/>
      <w:bookmarkStart w:id="69" w:name="_Toc514917847"/>
      <w:bookmarkStart w:id="70" w:name="_Toc12660"/>
      <w:r>
        <w:rPr>
          <w:rFonts w:ascii="Times New Roman" w:hAnsi="Times New Roman" w:eastAsia="黑体" w:cs="Times New Roman"/>
          <w:bCs/>
          <w:sz w:val="32"/>
          <w:szCs w:val="32"/>
        </w:rPr>
        <w:t>第一节  推进“多规合一”，优化空间布局</w:t>
      </w:r>
      <w:bookmarkEnd w:id="67"/>
      <w:bookmarkEnd w:id="68"/>
      <w:bookmarkEnd w:id="69"/>
      <w:bookmarkEnd w:id="70"/>
    </w:p>
    <w:p w14:paraId="1637C3F6">
      <w:pPr>
        <w:spacing w:line="580" w:lineRule="exact"/>
        <w:ind w:firstLine="602" w:firstLineChars="200"/>
        <w:outlineLvl w:val="2"/>
        <w:rPr>
          <w:rFonts w:ascii="Times New Roman" w:hAnsi="Times New Roman" w:eastAsia="楷体_GB2312" w:cs="Times New Roman"/>
          <w:b/>
          <w:bCs/>
          <w:sz w:val="30"/>
          <w:szCs w:val="30"/>
        </w:rPr>
      </w:pPr>
      <w:bookmarkStart w:id="71" w:name="_Toc524444997"/>
      <w:r>
        <w:rPr>
          <w:rFonts w:ascii="Times New Roman" w:hAnsi="Times New Roman" w:eastAsia="楷体_GB2312" w:cs="Times New Roman"/>
          <w:b/>
          <w:bCs/>
          <w:sz w:val="30"/>
          <w:szCs w:val="30"/>
        </w:rPr>
        <w:t>（一）落实主体功能区</w:t>
      </w:r>
      <w:bookmarkEnd w:id="71"/>
      <w:r>
        <w:rPr>
          <w:rFonts w:ascii="Times New Roman" w:hAnsi="Times New Roman" w:eastAsia="楷体_GB2312" w:cs="Times New Roman"/>
          <w:b/>
          <w:bCs/>
          <w:sz w:val="30"/>
          <w:szCs w:val="30"/>
        </w:rPr>
        <w:t>战略</w:t>
      </w:r>
    </w:p>
    <w:p w14:paraId="74656777">
      <w:pPr>
        <w:adjustRightInd w:val="0"/>
        <w:snapToGrid w:val="0"/>
        <w:spacing w:line="500" w:lineRule="exact"/>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洛隆县大部分区域属于自治区层面的限制开发区域（农产品主产区）中的藏东南主产区，具备较好的农牧业生产条件，以提供农产品为主体功能，以提供生态产品、服务产品和工业品为其他功能，需要在国土空间开发中限制进行大规模高强度工业化城镇化开发，以保持并提高农产品生产能力的区域。</w:t>
      </w:r>
    </w:p>
    <w:p w14:paraId="713F3BC9">
      <w:pPr>
        <w:adjustRightInd w:val="0"/>
        <w:snapToGrid w:val="0"/>
        <w:spacing w:line="500" w:lineRule="exact"/>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根据《西藏自治区生态功能区划》，洛隆县主要生态服务功能为：农牧业适度发展，水源涵养与水土保持。生态保护与发展方向为：加强谷地稳产高产农田建设和人工草场建设，加大亚高山暗针叶的管护力度，25°以上的陡坡山地禁止开垦。合理开发利用草地资源，发展畜牧业。</w:t>
      </w:r>
    </w:p>
    <w:p w14:paraId="21E57C17">
      <w:pPr>
        <w:spacing w:line="580" w:lineRule="exact"/>
        <w:ind w:firstLine="602" w:firstLineChars="200"/>
        <w:outlineLvl w:val="2"/>
        <w:rPr>
          <w:rFonts w:ascii="Times New Roman" w:hAnsi="Times New Roman" w:eastAsia="楷体_GB2312" w:cs="Times New Roman"/>
          <w:b/>
          <w:bCs/>
          <w:sz w:val="30"/>
          <w:szCs w:val="30"/>
        </w:rPr>
      </w:pPr>
      <w:bookmarkStart w:id="72" w:name="_Toc524444998"/>
      <w:bookmarkStart w:id="73" w:name="_Toc524444999"/>
      <w:r>
        <w:rPr>
          <w:rFonts w:ascii="Times New Roman" w:hAnsi="Times New Roman" w:eastAsia="楷体_GB2312" w:cs="Times New Roman"/>
          <w:b/>
          <w:bCs/>
          <w:sz w:val="30"/>
          <w:szCs w:val="30"/>
        </w:rPr>
        <w:t>（二）</w:t>
      </w:r>
      <w:r>
        <w:rPr>
          <w:rFonts w:hint="eastAsia" w:ascii="Times New Roman" w:hAnsi="Times New Roman" w:eastAsia="楷体_GB2312" w:cs="Times New Roman"/>
          <w:b/>
          <w:bCs/>
          <w:sz w:val="30"/>
          <w:szCs w:val="30"/>
        </w:rPr>
        <w:t>落实洛隆</w:t>
      </w:r>
      <w:r>
        <w:rPr>
          <w:rFonts w:ascii="Times New Roman" w:hAnsi="Times New Roman" w:eastAsia="楷体_GB2312" w:cs="Times New Roman"/>
          <w:b/>
          <w:bCs/>
          <w:sz w:val="30"/>
          <w:szCs w:val="30"/>
        </w:rPr>
        <w:t>县空间规划</w:t>
      </w:r>
      <w:bookmarkEnd w:id="72"/>
      <w:r>
        <w:rPr>
          <w:rFonts w:ascii="Times New Roman" w:hAnsi="Times New Roman" w:eastAsia="楷体_GB2312" w:cs="Times New Roman"/>
          <w:b/>
          <w:bCs/>
          <w:sz w:val="30"/>
          <w:szCs w:val="30"/>
        </w:rPr>
        <w:t>编制</w:t>
      </w:r>
    </w:p>
    <w:p w14:paraId="7BD651BF">
      <w:pPr>
        <w:adjustRightInd w:val="0"/>
        <w:snapToGrid w:val="0"/>
        <w:spacing w:line="500" w:lineRule="exact"/>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落实洛隆县空间规划编制，划定城镇、农业、生态空间以及生态保护红线、永久基本农田、城镇开发边界。将生态环境、农业、水利、市政、交通等多部门规划信息纳入空间规划一张图，明确城镇、农业和生态空间边界，建立统一的国土空间发展和管理平台，实现“一张图纸严格管控”和“一个平台协同管理”。</w:t>
      </w:r>
    </w:p>
    <w:p w14:paraId="680B12F5">
      <w:pPr>
        <w:spacing w:line="580" w:lineRule="exact"/>
        <w:ind w:firstLine="602" w:firstLineChars="200"/>
        <w:outlineLvl w:val="2"/>
        <w:rPr>
          <w:rFonts w:ascii="Times New Roman" w:hAnsi="Times New Roman" w:eastAsia="楷体_GB2312" w:cs="Times New Roman"/>
          <w:b/>
          <w:bCs/>
          <w:sz w:val="30"/>
          <w:szCs w:val="30"/>
        </w:rPr>
      </w:pPr>
      <w:r>
        <w:rPr>
          <w:rFonts w:ascii="Times New Roman" w:hAnsi="Times New Roman" w:eastAsia="楷体_GB2312" w:cs="Times New Roman"/>
          <w:b/>
          <w:bCs/>
          <w:sz w:val="30"/>
          <w:szCs w:val="30"/>
        </w:rPr>
        <w:t>（</w:t>
      </w:r>
      <w:r>
        <w:rPr>
          <w:rFonts w:hint="eastAsia" w:ascii="Times New Roman" w:hAnsi="Times New Roman" w:eastAsia="楷体_GB2312" w:cs="Times New Roman"/>
          <w:b/>
          <w:bCs/>
          <w:sz w:val="30"/>
          <w:szCs w:val="30"/>
        </w:rPr>
        <w:t>三</w:t>
      </w:r>
      <w:r>
        <w:rPr>
          <w:rFonts w:ascii="Times New Roman" w:hAnsi="Times New Roman" w:eastAsia="楷体_GB2312" w:cs="Times New Roman"/>
          <w:b/>
          <w:bCs/>
          <w:sz w:val="30"/>
          <w:szCs w:val="30"/>
        </w:rPr>
        <w:t>）形成“</w:t>
      </w:r>
      <w:r>
        <w:rPr>
          <w:rFonts w:hint="eastAsia" w:ascii="Times New Roman" w:hAnsi="Times New Roman" w:eastAsia="楷体_GB2312" w:cs="Times New Roman"/>
          <w:b/>
          <w:bCs/>
          <w:sz w:val="30"/>
          <w:szCs w:val="30"/>
        </w:rPr>
        <w:t>一核两带三片</w:t>
      </w:r>
      <w:r>
        <w:rPr>
          <w:rFonts w:ascii="Times New Roman" w:hAnsi="Times New Roman" w:eastAsia="楷体_GB2312" w:cs="Times New Roman"/>
          <w:b/>
          <w:bCs/>
          <w:sz w:val="30"/>
          <w:szCs w:val="30"/>
        </w:rPr>
        <w:t>”发展格局</w:t>
      </w:r>
    </w:p>
    <w:bookmarkEnd w:id="73"/>
    <w:p w14:paraId="0BE3238A">
      <w:pPr>
        <w:adjustRightInd w:val="0"/>
        <w:snapToGrid w:val="0"/>
        <w:spacing w:line="500" w:lineRule="exact"/>
        <w:ind w:firstLine="602" w:firstLineChars="200"/>
        <w:rPr>
          <w:rFonts w:ascii="Times New Roman" w:hAnsi="Times New Roman" w:eastAsia="仿宋_GB2312" w:cs="Times New Roman"/>
          <w:sz w:val="30"/>
          <w:szCs w:val="30"/>
        </w:rPr>
      </w:pPr>
      <w:r>
        <w:rPr>
          <w:rFonts w:hint="eastAsia" w:ascii="Times New Roman" w:hAnsi="Times New Roman" w:eastAsia="仿宋_GB2312" w:cs="Times New Roman"/>
          <w:b/>
          <w:bCs/>
          <w:sz w:val="30"/>
          <w:szCs w:val="30"/>
        </w:rPr>
        <w:t>一核引领。</w:t>
      </w:r>
      <w:r>
        <w:rPr>
          <w:rFonts w:hint="eastAsia" w:ascii="Times New Roman" w:hAnsi="Times New Roman" w:eastAsia="仿宋_GB2312" w:cs="Times New Roman"/>
          <w:sz w:val="30"/>
          <w:szCs w:val="30"/>
        </w:rPr>
        <w:t>打造县城综合功能发展增长极核，实现人口和要素的规模聚集，优化城市布局，推进产城一体、产业聚集，打造面向内陆开放的区域重要枢纽节点，成为县域推进高质量发展的“发动机”。</w:t>
      </w:r>
    </w:p>
    <w:p w14:paraId="23D71324">
      <w:pPr>
        <w:adjustRightInd w:val="0"/>
        <w:snapToGrid w:val="0"/>
        <w:spacing w:line="500" w:lineRule="exact"/>
        <w:ind w:firstLine="602" w:firstLineChars="200"/>
        <w:rPr>
          <w:rFonts w:ascii="Times New Roman" w:hAnsi="Times New Roman" w:eastAsia="仿宋_GB2312" w:cs="Times New Roman"/>
          <w:sz w:val="30"/>
          <w:szCs w:val="30"/>
        </w:rPr>
      </w:pPr>
      <w:r>
        <w:rPr>
          <w:rFonts w:hint="eastAsia" w:ascii="Times New Roman" w:hAnsi="Times New Roman" w:eastAsia="仿宋_GB2312" w:cs="Times New Roman"/>
          <w:b/>
          <w:bCs/>
          <w:sz w:val="30"/>
          <w:szCs w:val="30"/>
        </w:rPr>
        <w:t>两带驱动。</w:t>
      </w:r>
      <w:r>
        <w:rPr>
          <w:rFonts w:hint="eastAsia" w:ascii="Times New Roman" w:hAnsi="Times New Roman" w:eastAsia="仿宋_GB2312" w:cs="Times New Roman"/>
          <w:sz w:val="30"/>
          <w:szCs w:val="30"/>
        </w:rPr>
        <w:t>加快建设G349国道经济带，加强沿线边疆民族小镇和美丽乡村建设，加强文化旅游基础设施建设，大力发展特色种养业、食品加工业、民族手工业和文化产业，打造茶马古道中线文化和产业发展带。繁荣发展铁路经济带，以川藏铁路建设为契机，加快推进南部环形交通廊道和铁路站建设，完善物流设施，主动对接成渝地区双城经济圈，全面融入以国内大循环为主、国际国内双循环相互促进的新发展格局。</w:t>
      </w:r>
    </w:p>
    <w:p w14:paraId="0D0613CA">
      <w:pPr>
        <w:adjustRightInd w:val="0"/>
        <w:snapToGrid w:val="0"/>
        <w:spacing w:line="500" w:lineRule="exact"/>
        <w:ind w:firstLine="602" w:firstLineChars="200"/>
        <w:rPr>
          <w:rFonts w:ascii="Times New Roman" w:hAnsi="Times New Roman" w:eastAsia="仿宋_GB2312" w:cs="Times New Roman"/>
          <w:sz w:val="30"/>
          <w:szCs w:val="30"/>
        </w:rPr>
      </w:pPr>
      <w:r>
        <w:rPr>
          <w:rFonts w:hint="eastAsia" w:ascii="Times New Roman" w:hAnsi="Times New Roman" w:eastAsia="仿宋_GB2312" w:cs="Times New Roman"/>
          <w:b/>
          <w:bCs/>
          <w:sz w:val="30"/>
          <w:szCs w:val="30"/>
        </w:rPr>
        <w:t>三片联动。</w:t>
      </w:r>
      <w:r>
        <w:rPr>
          <w:rFonts w:hint="eastAsia" w:ascii="Times New Roman" w:hAnsi="Times New Roman" w:eastAsia="仿宋_GB2312" w:cs="Times New Roman"/>
          <w:sz w:val="30"/>
          <w:szCs w:val="30"/>
        </w:rPr>
        <w:t>统筹推进三大特色功能片区建设。东部生态农旅与民俗文化片区，包括马利镇、白达乡、玉西乡、康沙镇、达龙乡，大力发展生态农业、生态旅游和民宿文化。西部现代农业与历史文化片区，包括俄西乡、新荣乡、孜托镇、硕督镇、中亦乡，大力发展以青稞为代表的现代农业和历史文化旅游业，重点打造俄西现代农业园和孜托镇现代农业园、硕督历史文化名镇，建成昌都市“粮仓”、红色旅游和民族团结示范基地。南部现代物流与雪山湖泊观光片区，包括腊久乡，大力发展现代物流业，重点打造环线交通和铁路站物流枢纽，加强生态环境保护建设，适度发展高原畜牧业，加强八美国家公园景区建设，发展雪山湖泊观光旅游。</w:t>
      </w:r>
    </w:p>
    <w:p w14:paraId="3D31D957">
      <w:pPr>
        <w:spacing w:line="580" w:lineRule="exact"/>
        <w:jc w:val="center"/>
        <w:outlineLvl w:val="1"/>
        <w:rPr>
          <w:rFonts w:ascii="Times New Roman" w:hAnsi="Times New Roman" w:eastAsia="黑体" w:cs="Times New Roman"/>
          <w:bCs/>
          <w:sz w:val="32"/>
          <w:szCs w:val="32"/>
        </w:rPr>
      </w:pPr>
      <w:bookmarkStart w:id="74" w:name="_Toc26394"/>
      <w:bookmarkStart w:id="75" w:name="_Toc22716"/>
      <w:bookmarkStart w:id="76" w:name="_Toc528335025"/>
      <w:r>
        <w:rPr>
          <w:rFonts w:ascii="Times New Roman" w:hAnsi="Times New Roman" w:eastAsia="黑体" w:cs="Times New Roman"/>
          <w:bCs/>
          <w:sz w:val="32"/>
          <w:szCs w:val="32"/>
        </w:rPr>
        <w:t xml:space="preserve">第二节  </w:t>
      </w:r>
      <w:r>
        <w:rPr>
          <w:rFonts w:ascii="Times New Roman" w:hAnsi="Times New Roman" w:eastAsia="黑体" w:cs="Times New Roman"/>
          <w:bCs/>
          <w:sz w:val="32"/>
          <w:szCs w:val="32"/>
          <w:lang w:val="zh-CN"/>
        </w:rPr>
        <w:t>保障自然生态空间</w:t>
      </w:r>
      <w:bookmarkEnd w:id="74"/>
      <w:bookmarkEnd w:id="75"/>
    </w:p>
    <w:p w14:paraId="3C6BB7D8">
      <w:pPr>
        <w:spacing w:line="580" w:lineRule="exact"/>
        <w:ind w:firstLine="602" w:firstLineChars="200"/>
        <w:outlineLvl w:val="2"/>
        <w:rPr>
          <w:rFonts w:ascii="Times New Roman" w:hAnsi="Times New Roman" w:eastAsia="楷体_GB2312" w:cs="Times New Roman"/>
          <w:b/>
          <w:bCs/>
          <w:sz w:val="30"/>
          <w:szCs w:val="30"/>
        </w:rPr>
      </w:pPr>
      <w:r>
        <w:rPr>
          <w:rFonts w:ascii="Times New Roman" w:hAnsi="Times New Roman" w:eastAsia="楷体_GB2312" w:cs="Times New Roman"/>
          <w:b/>
          <w:bCs/>
          <w:sz w:val="30"/>
          <w:szCs w:val="30"/>
        </w:rPr>
        <w:t>（一）严守生态保护红线</w:t>
      </w:r>
      <w:bookmarkEnd w:id="76"/>
    </w:p>
    <w:p w14:paraId="0B78C020">
      <w:pPr>
        <w:adjustRightInd w:val="0"/>
        <w:snapToGrid w:val="0"/>
        <w:spacing w:line="500" w:lineRule="exact"/>
        <w:ind w:firstLine="602" w:firstLineChars="200"/>
        <w:rPr>
          <w:rFonts w:ascii="Times New Roman" w:hAnsi="Times New Roman" w:eastAsia="仿宋_GB2312" w:cs="Times New Roman"/>
          <w:sz w:val="30"/>
          <w:szCs w:val="30"/>
          <w:lang w:val="zh-CN"/>
        </w:rPr>
      </w:pPr>
      <w:r>
        <w:rPr>
          <w:rFonts w:hint="eastAsia" w:ascii="Times New Roman" w:hAnsi="Times New Roman" w:eastAsia="仿宋_GB2312" w:cs="Times New Roman"/>
          <w:b/>
          <w:sz w:val="30"/>
          <w:szCs w:val="30"/>
          <w:lang w:val="zh-CN"/>
        </w:rPr>
        <w:t>明确落实生态保护红线监督责任。</w:t>
      </w:r>
      <w:r>
        <w:rPr>
          <w:rFonts w:hint="eastAsia" w:ascii="Times New Roman" w:hAnsi="Times New Roman" w:eastAsia="仿宋_GB2312" w:cs="Times New Roman"/>
          <w:sz w:val="30"/>
          <w:szCs w:val="30"/>
          <w:lang w:val="zh-CN"/>
        </w:rPr>
        <w:t>洛隆</w:t>
      </w:r>
      <w:r>
        <w:rPr>
          <w:rFonts w:ascii="Times New Roman" w:hAnsi="Times New Roman" w:eastAsia="仿宋_GB2312" w:cs="Times New Roman"/>
          <w:sz w:val="30"/>
          <w:szCs w:val="30"/>
          <w:lang w:val="zh-CN"/>
        </w:rPr>
        <w:t>县境内划定的生态保护红线总面</w:t>
      </w:r>
      <w:r>
        <w:rPr>
          <w:rFonts w:hint="eastAsia" w:ascii="Times New Roman" w:hAnsi="Times New Roman" w:eastAsia="仿宋_GB2312" w:cs="Times New Roman"/>
          <w:sz w:val="30"/>
          <w:szCs w:val="30"/>
          <w:lang w:val="zh-CN"/>
        </w:rPr>
        <w:t>积为</w:t>
      </w:r>
      <w:r>
        <w:rPr>
          <w:rFonts w:hint="eastAsia" w:ascii="Times New Roman" w:hAnsi="Times New Roman" w:eastAsia="仿宋_GB2312" w:cs="Times New Roman"/>
          <w:sz w:val="30"/>
          <w:szCs w:val="30"/>
        </w:rPr>
        <w:t>1813km</w:t>
      </w:r>
      <w:r>
        <w:rPr>
          <w:rFonts w:hint="eastAsia" w:ascii="Times New Roman" w:hAnsi="Times New Roman" w:eastAsia="仿宋_GB2312" w:cs="Times New Roman"/>
          <w:sz w:val="30"/>
          <w:szCs w:val="30"/>
          <w:vertAlign w:val="superscript"/>
        </w:rPr>
        <w:t>2</w:t>
      </w:r>
      <w:r>
        <w:rPr>
          <w:rFonts w:hint="eastAsia" w:ascii="Times New Roman" w:hAnsi="Times New Roman" w:eastAsia="仿宋_GB2312" w:cs="Times New Roman"/>
          <w:sz w:val="30"/>
          <w:szCs w:val="30"/>
          <w:lang w:val="zh-CN"/>
        </w:rPr>
        <w:t>，占县域国土面积比例22.49%。完善生态红线监督机制是落实生态保护责任的保障，应加强对行政主管部门履行生态责任的行为、对生态执法部门的执法行为和生态决策和管理行为的监督。以生态红线管理部门为主体，积极发挥政府、新闻媒体、社会组织和公众广泛参与的监督作用。通过多方位、多层次的监督，建立统一、有力的监管体系。</w:t>
      </w:r>
    </w:p>
    <w:p w14:paraId="326F3942">
      <w:pPr>
        <w:adjustRightInd w:val="0"/>
        <w:snapToGrid w:val="0"/>
        <w:spacing w:line="500" w:lineRule="exact"/>
        <w:ind w:firstLine="602" w:firstLineChars="200"/>
        <w:rPr>
          <w:rFonts w:ascii="Times New Roman" w:hAnsi="Times New Roman" w:eastAsia="仿宋_GB2312" w:cs="Times New Roman"/>
          <w:sz w:val="30"/>
          <w:szCs w:val="30"/>
          <w:lang w:val="zh-CN"/>
        </w:rPr>
      </w:pPr>
      <w:r>
        <w:rPr>
          <w:rFonts w:ascii="Times New Roman" w:hAnsi="Times New Roman" w:eastAsia="仿宋_GB2312" w:cs="Times New Roman"/>
          <w:b/>
          <w:bCs/>
          <w:sz w:val="30"/>
          <w:szCs w:val="30"/>
          <w:lang w:val="zh-CN"/>
        </w:rPr>
        <w:t>推进生态保护红线勘界定标。</w:t>
      </w:r>
      <w:r>
        <w:rPr>
          <w:rFonts w:ascii="Times New Roman" w:hAnsi="Times New Roman" w:eastAsia="仿宋_GB2312" w:cs="Times New Roman"/>
          <w:sz w:val="30"/>
          <w:szCs w:val="30"/>
          <w:lang w:val="zh-CN"/>
        </w:rPr>
        <w:t xml:space="preserve">按照精准、简单、易行的要求，开展生态保护红线勘界定标，明确不同斑块生态保护红线边界范围，在重点地段（部位）、拐点等控制点设立地理界标，打桩定界，并在醒目位置树立标识牌，确保生态保护红线落地准确、边界清晰。加快推进生态保护红线准确落地，有关信息登记入库，为常态化监管奠定基础。 </w:t>
      </w:r>
    </w:p>
    <w:p w14:paraId="6FF46434">
      <w:pPr>
        <w:adjustRightInd w:val="0"/>
        <w:snapToGrid w:val="0"/>
        <w:spacing w:line="500" w:lineRule="exact"/>
        <w:ind w:firstLine="602" w:firstLineChars="200"/>
        <w:rPr>
          <w:rFonts w:ascii="Times New Roman" w:hAnsi="Times New Roman" w:eastAsia="仿宋_GB2312" w:cs="Times New Roman"/>
          <w:sz w:val="30"/>
          <w:szCs w:val="30"/>
          <w:lang w:val="zh-CN"/>
        </w:rPr>
      </w:pPr>
      <w:r>
        <w:rPr>
          <w:rFonts w:ascii="Times New Roman" w:hAnsi="Times New Roman" w:eastAsia="仿宋_GB2312" w:cs="Times New Roman"/>
          <w:b/>
          <w:bCs/>
          <w:sz w:val="30"/>
          <w:szCs w:val="30"/>
          <w:lang w:val="zh-CN"/>
        </w:rPr>
        <w:t>确保生态功能不降低、面积不减少、性质不改变。</w:t>
      </w:r>
      <w:r>
        <w:rPr>
          <w:rFonts w:ascii="Times New Roman" w:hAnsi="Times New Roman" w:eastAsia="仿宋_GB2312" w:cs="Times New Roman"/>
          <w:sz w:val="30"/>
          <w:szCs w:val="30"/>
          <w:lang w:val="zh-CN"/>
        </w:rPr>
        <w:t>对区内的林草、湿地等自然生态系统严加保护，防止生态功能的退化；停止一切导致生态服务功能继续退化的开发活动和其他人为破坏活动；对已存在的不符合环保要求的工矿企业予以关闭搬迁</w:t>
      </w:r>
      <w:r>
        <w:rPr>
          <w:rFonts w:hint="eastAsia" w:ascii="Times New Roman" w:hAnsi="Times New Roman" w:eastAsia="仿宋_GB2312" w:cs="Times New Roman"/>
          <w:sz w:val="30"/>
          <w:szCs w:val="30"/>
          <w:lang w:val="zh-CN"/>
        </w:rPr>
        <w:t>；</w:t>
      </w:r>
      <w:r>
        <w:rPr>
          <w:rFonts w:ascii="Times New Roman" w:hAnsi="Times New Roman" w:eastAsia="仿宋_GB2312" w:cs="Times New Roman"/>
          <w:sz w:val="30"/>
          <w:szCs w:val="30"/>
          <w:lang w:val="zh-CN"/>
        </w:rPr>
        <w:t>对已破坏的生态环境要做好生态恢复工作。</w:t>
      </w:r>
    </w:p>
    <w:p w14:paraId="0DB506D2">
      <w:pPr>
        <w:adjustRightInd w:val="0"/>
        <w:snapToGrid w:val="0"/>
        <w:spacing w:line="500" w:lineRule="exact"/>
        <w:ind w:firstLine="602" w:firstLineChars="200"/>
        <w:rPr>
          <w:rFonts w:ascii="Times New Roman" w:hAnsi="Times New Roman" w:eastAsia="仿宋_GB2312" w:cs="Times New Roman"/>
          <w:sz w:val="30"/>
          <w:szCs w:val="30"/>
          <w:lang w:val="zh-CN"/>
        </w:rPr>
      </w:pPr>
      <w:r>
        <w:rPr>
          <w:rFonts w:ascii="Times New Roman" w:hAnsi="Times New Roman" w:eastAsia="仿宋_GB2312" w:cs="Times New Roman"/>
          <w:b/>
          <w:bCs/>
          <w:sz w:val="30"/>
          <w:szCs w:val="30"/>
          <w:lang w:val="zh-CN"/>
        </w:rPr>
        <w:t>健全生态保护红线配套支撑体系，开展保护评价与绩效考核。</w:t>
      </w:r>
      <w:r>
        <w:rPr>
          <w:rFonts w:hint="eastAsia" w:ascii="Times New Roman" w:hAnsi="Times New Roman" w:eastAsia="仿宋_GB2312" w:cs="Times New Roman"/>
          <w:sz w:val="30"/>
          <w:szCs w:val="30"/>
          <w:lang w:val="zh-CN"/>
        </w:rPr>
        <w:t>加快建立生态保护红线目标责任制、生态保护红线巡查制度、现场核查制度、分析报告制度，将生态保护红线作为相关综合决策的重要依据和前提条件，履行好保护责任，及时查处违法行为。认真落实生态保护红线评价机制，定期组织开展评价，及时掌握区域生态保护红线生态功能状况及动态变化趋势。按照国家、自治区相关要求，开展生态保护红线保护成效考核，并将考核结果纳入生态文明建设目标评价考核体系，作为党政领导班子和领导干部综合评价及责任追究、离任审计的重要参考。</w:t>
      </w:r>
    </w:p>
    <w:p w14:paraId="74D3575D">
      <w:pPr>
        <w:spacing w:line="580" w:lineRule="exact"/>
        <w:ind w:firstLine="602" w:firstLineChars="200"/>
        <w:outlineLvl w:val="2"/>
        <w:rPr>
          <w:rFonts w:ascii="Times New Roman" w:hAnsi="Times New Roman" w:eastAsia="楷体_GB2312" w:cs="Times New Roman"/>
          <w:b/>
          <w:bCs/>
          <w:sz w:val="30"/>
          <w:szCs w:val="30"/>
          <w:lang w:val="zh-CN"/>
        </w:rPr>
      </w:pPr>
      <w:r>
        <w:rPr>
          <w:rFonts w:ascii="Times New Roman" w:hAnsi="Times New Roman" w:eastAsia="楷体_GB2312" w:cs="Times New Roman"/>
          <w:b/>
          <w:bCs/>
          <w:sz w:val="30"/>
          <w:szCs w:val="30"/>
          <w:lang w:val="zh-CN"/>
        </w:rPr>
        <w:t>（</w:t>
      </w:r>
      <w:r>
        <w:rPr>
          <w:rFonts w:ascii="Times New Roman" w:hAnsi="Times New Roman" w:eastAsia="楷体_GB2312" w:cs="Times New Roman"/>
          <w:b/>
          <w:bCs/>
          <w:sz w:val="30"/>
          <w:szCs w:val="30"/>
        </w:rPr>
        <w:t>二</w:t>
      </w:r>
      <w:r>
        <w:rPr>
          <w:rFonts w:ascii="Times New Roman" w:hAnsi="Times New Roman" w:eastAsia="楷体_GB2312" w:cs="Times New Roman"/>
          <w:b/>
          <w:bCs/>
          <w:sz w:val="30"/>
          <w:szCs w:val="30"/>
          <w:lang w:val="zh-CN"/>
        </w:rPr>
        <w:t>）</w:t>
      </w:r>
      <w:r>
        <w:rPr>
          <w:rFonts w:ascii="Times New Roman" w:hAnsi="Times New Roman" w:eastAsia="楷体_GB2312" w:cs="Times New Roman"/>
          <w:b/>
          <w:bCs/>
          <w:sz w:val="30"/>
          <w:szCs w:val="30"/>
        </w:rPr>
        <w:t>保护</w:t>
      </w:r>
      <w:r>
        <w:rPr>
          <w:rFonts w:ascii="Times New Roman" w:hAnsi="Times New Roman" w:eastAsia="楷体_GB2312" w:cs="Times New Roman"/>
          <w:b/>
          <w:bCs/>
          <w:sz w:val="30"/>
          <w:szCs w:val="30"/>
          <w:lang w:val="zh-CN"/>
        </w:rPr>
        <w:t>生态空间</w:t>
      </w:r>
    </w:p>
    <w:p w14:paraId="6ACB8A03">
      <w:pPr>
        <w:adjustRightInd w:val="0"/>
        <w:snapToGrid w:val="0"/>
        <w:spacing w:line="500" w:lineRule="exact"/>
        <w:ind w:firstLine="600" w:firstLineChars="200"/>
        <w:rPr>
          <w:rFonts w:ascii="Times New Roman" w:hAnsi="Times New Roman" w:eastAsia="仿宋_GB2312" w:cs="Times New Roman"/>
          <w:sz w:val="30"/>
          <w:szCs w:val="30"/>
          <w:lang w:val="zh-CN"/>
        </w:rPr>
      </w:pPr>
      <w:r>
        <w:rPr>
          <w:rFonts w:hint="eastAsia" w:ascii="Times New Roman" w:hAnsi="Times New Roman" w:eastAsia="仿宋_GB2312" w:cs="Times New Roman"/>
          <w:sz w:val="30"/>
          <w:szCs w:val="30"/>
          <w:lang w:val="zh-CN"/>
        </w:rPr>
        <w:t>完善风景名胜区、饮用水水源地保护区、湿地公园等的保护管理制度和措施，实施生态空间分级管控，一级管控区禁止滥伐、狩猎、开垦、烧荒、开矿等破坏生态功能和生态环境的开发建设活动，建立边界坐标数据库；二级管控区实行负面清单管理制度，确保用地性质不转换、生态功能不降低、空间面积不减少。</w:t>
      </w:r>
    </w:p>
    <w:p w14:paraId="1D7A7F6A">
      <w:pPr>
        <w:spacing w:line="580" w:lineRule="exact"/>
        <w:ind w:firstLine="602" w:firstLineChars="200"/>
        <w:outlineLvl w:val="2"/>
        <w:rPr>
          <w:rFonts w:ascii="Times New Roman" w:hAnsi="Times New Roman" w:eastAsia="楷体_GB2312" w:cs="Times New Roman"/>
          <w:b/>
          <w:bCs/>
          <w:sz w:val="30"/>
          <w:szCs w:val="30"/>
        </w:rPr>
      </w:pPr>
      <w:bookmarkStart w:id="77" w:name="_Toc528335026"/>
      <w:bookmarkStart w:id="78" w:name="_Toc514667667"/>
      <w:bookmarkStart w:id="79" w:name="_Toc514668333"/>
      <w:r>
        <w:rPr>
          <w:rFonts w:ascii="Times New Roman" w:hAnsi="Times New Roman" w:eastAsia="楷体_GB2312" w:cs="Times New Roman"/>
          <w:b/>
          <w:bCs/>
          <w:sz w:val="30"/>
          <w:szCs w:val="30"/>
        </w:rPr>
        <w:t>（三）构建生态安全屏障</w:t>
      </w:r>
    </w:p>
    <w:p w14:paraId="7F76D5C1">
      <w:pPr>
        <w:adjustRightInd w:val="0"/>
        <w:snapToGrid w:val="0"/>
        <w:spacing w:line="500" w:lineRule="exact"/>
        <w:ind w:firstLine="600" w:firstLineChars="200"/>
        <w:rPr>
          <w:rFonts w:ascii="Times New Roman" w:hAnsi="Times New Roman" w:eastAsia="仿宋_GB2312" w:cs="Times New Roman"/>
          <w:sz w:val="30"/>
          <w:szCs w:val="30"/>
          <w:lang w:val="zh-CN"/>
        </w:rPr>
      </w:pPr>
      <w:r>
        <w:rPr>
          <w:rFonts w:ascii="Times New Roman" w:hAnsi="Times New Roman" w:eastAsia="仿宋_GB2312" w:cs="Times New Roman"/>
          <w:sz w:val="30"/>
          <w:szCs w:val="30"/>
          <w:lang w:val="zh-CN"/>
        </w:rPr>
        <w:t>以维护和修复生态系统整体功能为重点，构建</w:t>
      </w:r>
      <w:r>
        <w:rPr>
          <w:rFonts w:hint="eastAsia" w:ascii="Times New Roman" w:hAnsi="Times New Roman" w:eastAsia="仿宋_GB2312" w:cs="Times New Roman"/>
          <w:sz w:val="30"/>
          <w:szCs w:val="30"/>
          <w:lang w:val="zh-CN"/>
        </w:rPr>
        <w:t>“一廊三区两点”的全域生态保护格局。一廊：怒江水生态保护廊道。以水生态保护和修复功能为主，沿河道两侧划定岸线保护区、岸线保留区、岸线控制利用区和岸线开发利用区，分区实施生态修复和管制开发。三区：北部水土保持区——通过退牧还草、土地整理、加强基础设施建设等方式控制水土流失，保护怒江水质；中部生物多样性保护区——通过退牧还草、规范各类农牧药物使用、限制人类活动范围等方式增强生态功能，保护生物多样性；西南部水涵养区——加强造林绿化、天然林保护、沿线农村综合整治及异地搬迁等方式涵养水源。两点：卓玛朗措国家湿地公园、八洞措自治区风景自然公园。以自然保护地为关键节点，贯彻执行自然保护地管理措施，加快湿地保护修复，完善高原生物多样性保护网络。</w:t>
      </w:r>
    </w:p>
    <w:p w14:paraId="0CF33B90">
      <w:pPr>
        <w:adjustRightInd w:val="0"/>
        <w:snapToGrid w:val="0"/>
        <w:spacing w:line="500" w:lineRule="exact"/>
        <w:ind w:firstLine="600" w:firstLineChars="200"/>
        <w:rPr>
          <w:rFonts w:ascii="Times New Roman" w:hAnsi="Times New Roman" w:eastAsia="仿宋_GB2312" w:cs="Times New Roman"/>
          <w:sz w:val="30"/>
          <w:szCs w:val="30"/>
          <w:lang w:val="zh-CN"/>
        </w:rPr>
      </w:pPr>
      <w:r>
        <w:rPr>
          <w:rFonts w:ascii="Times New Roman" w:hAnsi="Times New Roman" w:eastAsia="仿宋_GB2312" w:cs="Times New Roman"/>
          <w:sz w:val="30"/>
          <w:szCs w:val="30"/>
          <w:lang w:val="zh-CN"/>
        </w:rPr>
        <w:t>开展湿地恢复与保护工程、水岸生态林网建设等工程，强化生物多样性保护，促进森林和草地生态系统功能恢复和提高。以湿地国家公园为重点，构建生态安全空间格局。加强饮用水源风险监控，完善饮用水源保护应急预案，建设备用饮用水源地，饮用水源一级保护区内，已经建成的供水设施和保护水源无关建设项目应确保拆除或者关闭。规划期间，全县国家重点保护野生动植物保护率持续在95%以上。</w:t>
      </w:r>
    </w:p>
    <w:p w14:paraId="6A40ACE5">
      <w:pPr>
        <w:spacing w:line="580" w:lineRule="exact"/>
        <w:ind w:firstLine="602" w:firstLineChars="200"/>
        <w:jc w:val="left"/>
        <w:rPr>
          <w:rFonts w:ascii="Times New Roman" w:hAnsi="Times New Roman" w:eastAsia="楷体_GB2312" w:cs="Times New Roman"/>
          <w:b/>
          <w:bCs/>
          <w:sz w:val="30"/>
          <w:szCs w:val="30"/>
        </w:rPr>
      </w:pPr>
      <w:r>
        <w:rPr>
          <w:rFonts w:ascii="Times New Roman" w:hAnsi="Times New Roman" w:eastAsia="楷体_GB2312" w:cs="Times New Roman"/>
          <w:b/>
          <w:bCs/>
          <w:sz w:val="30"/>
          <w:szCs w:val="30"/>
        </w:rPr>
        <w:t>（四）加强河岸线保护</w:t>
      </w:r>
    </w:p>
    <w:p w14:paraId="4E35C620">
      <w:pPr>
        <w:adjustRightInd w:val="0"/>
        <w:snapToGrid w:val="0"/>
        <w:spacing w:line="500" w:lineRule="exact"/>
        <w:ind w:firstLine="600" w:firstLineChars="200"/>
        <w:rPr>
          <w:rFonts w:ascii="Times New Roman" w:hAnsi="Times New Roman" w:eastAsia="仿宋_GB2312" w:cs="Times New Roman"/>
          <w:sz w:val="30"/>
          <w:szCs w:val="30"/>
          <w:lang w:val="zh-CN"/>
        </w:rPr>
      </w:pPr>
      <w:r>
        <w:rPr>
          <w:rFonts w:ascii="Times New Roman" w:hAnsi="Times New Roman" w:eastAsia="仿宋_GB2312" w:cs="Times New Roman"/>
          <w:sz w:val="30"/>
          <w:szCs w:val="30"/>
          <w:lang w:val="zh-CN"/>
        </w:rPr>
        <w:t>组织开展河湖岸线保护与利用规划编制工作。统筹县域内河湖岸线资源，严格分区管理与用途管制。科学划定岸线功能区，加大保护区和保留区岸线保护力度，有效保护自然岸线生态环境。提升开发利用县岸线使用效率，合理安排过河通道岸线、取排水口岸线。探索建立岸线资源有偿使用制度。将划定岸线功能分区、保护与利用工作作为河（湖）长制的重要任务，加强岸线空间管控、推动岸线有效保护和合理利用，保障河势稳定和防洪安全、供水安全、生态安全。规划期间，河湖岸线保护率按照自治区、市下达的任务，完成上级管控目标。</w:t>
      </w:r>
      <w:bookmarkStart w:id="80" w:name="_Toc13590"/>
    </w:p>
    <w:p w14:paraId="7FFE99E7">
      <w:pPr>
        <w:spacing w:line="580" w:lineRule="exact"/>
        <w:jc w:val="center"/>
        <w:outlineLvl w:val="1"/>
        <w:rPr>
          <w:rFonts w:ascii="Times New Roman" w:hAnsi="Times New Roman" w:eastAsia="黑体" w:cs="Times New Roman"/>
          <w:bCs/>
          <w:sz w:val="32"/>
          <w:szCs w:val="32"/>
          <w:lang w:val="zh-CN"/>
        </w:rPr>
      </w:pPr>
      <w:bookmarkStart w:id="81" w:name="_Toc30437"/>
      <w:r>
        <w:rPr>
          <w:rFonts w:ascii="Times New Roman" w:hAnsi="Times New Roman" w:eastAsia="黑体" w:cs="Times New Roman"/>
          <w:bCs/>
          <w:sz w:val="32"/>
          <w:szCs w:val="32"/>
          <w:lang w:val="zh-CN"/>
        </w:rPr>
        <w:t>第三节  构建适度有序的农业空间</w:t>
      </w:r>
      <w:bookmarkEnd w:id="80"/>
      <w:bookmarkEnd w:id="81"/>
    </w:p>
    <w:bookmarkEnd w:id="77"/>
    <w:bookmarkEnd w:id="78"/>
    <w:bookmarkEnd w:id="79"/>
    <w:p w14:paraId="656342C7">
      <w:pPr>
        <w:spacing w:line="580" w:lineRule="exact"/>
        <w:ind w:firstLine="602" w:firstLineChars="200"/>
        <w:outlineLvl w:val="2"/>
        <w:rPr>
          <w:rFonts w:ascii="Times New Roman" w:hAnsi="Times New Roman" w:eastAsia="楷体_GB2312" w:cs="Times New Roman"/>
          <w:b/>
          <w:bCs/>
          <w:sz w:val="30"/>
          <w:szCs w:val="30"/>
        </w:rPr>
      </w:pPr>
      <w:r>
        <w:rPr>
          <w:rFonts w:ascii="Times New Roman" w:hAnsi="Times New Roman" w:eastAsia="楷体_GB2312" w:cs="Times New Roman"/>
          <w:b/>
          <w:bCs/>
          <w:sz w:val="30"/>
          <w:szCs w:val="30"/>
        </w:rPr>
        <w:t>（一）优化农业空间布局</w:t>
      </w:r>
    </w:p>
    <w:p w14:paraId="2C05C2E8">
      <w:pPr>
        <w:adjustRightInd w:val="0"/>
        <w:snapToGrid w:val="0"/>
        <w:spacing w:line="500" w:lineRule="exact"/>
        <w:ind w:firstLine="602" w:firstLineChars="200"/>
        <w:rPr>
          <w:rFonts w:ascii="Times New Roman" w:hAnsi="Times New Roman" w:eastAsia="仿宋_GB2312" w:cs="Times New Roman"/>
          <w:sz w:val="30"/>
          <w:szCs w:val="30"/>
          <w:lang w:val="zh-CN"/>
        </w:rPr>
      </w:pPr>
      <w:r>
        <w:rPr>
          <w:rFonts w:ascii="Times New Roman" w:hAnsi="Times New Roman" w:eastAsia="仿宋_GB2312" w:cs="Times New Roman"/>
          <w:b/>
          <w:sz w:val="30"/>
          <w:szCs w:val="30"/>
          <w:lang w:val="zh-CN"/>
        </w:rPr>
        <w:t>坚持最严格的耕地保护制度和最严格的节约用地制度。</w:t>
      </w:r>
      <w:r>
        <w:rPr>
          <w:rFonts w:ascii="Times New Roman" w:hAnsi="Times New Roman" w:eastAsia="仿宋_GB2312" w:cs="Times New Roman"/>
          <w:sz w:val="30"/>
          <w:szCs w:val="30"/>
          <w:lang w:val="zh-CN"/>
        </w:rPr>
        <w:t>以守住永久基本农田控制线为目标，建立健全“划、建、管、补、护”长效机制，巩固划定成果，完善保护措施，提高监管水平。正确利用法规处理土地保护、开发、利用中的各类矛盾问题；全力落实最严格的耕地保护制度和节约集约用地制度，积极推进违法用地整改工作，确保全县耕地面积不减少，质量有提高；抓住国土空间总体规划编制的重要机遇期，进一步优化国土空间开发，优化用地审批及利用管理方式，全力保障发展用地，依法规范土地管理秩序，为全县经济社会高质量跨越式发展提供坚强保障。</w:t>
      </w:r>
    </w:p>
    <w:p w14:paraId="7413065C">
      <w:pPr>
        <w:adjustRightInd w:val="0"/>
        <w:snapToGrid w:val="0"/>
        <w:spacing w:line="500" w:lineRule="exact"/>
        <w:ind w:firstLine="602" w:firstLineChars="200"/>
        <w:rPr>
          <w:rFonts w:ascii="Times New Roman" w:hAnsi="Times New Roman" w:eastAsia="仿宋_GB2312" w:cs="Times New Roman"/>
          <w:sz w:val="30"/>
          <w:szCs w:val="30"/>
          <w:lang w:val="zh-CN"/>
        </w:rPr>
      </w:pPr>
      <w:r>
        <w:rPr>
          <w:rFonts w:ascii="Times New Roman" w:hAnsi="Times New Roman" w:eastAsia="仿宋_GB2312" w:cs="Times New Roman"/>
          <w:b/>
          <w:sz w:val="30"/>
          <w:szCs w:val="30"/>
          <w:lang w:val="zh-CN"/>
        </w:rPr>
        <w:t>优化农业空间与城镇空间布局。</w:t>
      </w:r>
      <w:r>
        <w:rPr>
          <w:rFonts w:ascii="Times New Roman" w:hAnsi="Times New Roman" w:eastAsia="仿宋_GB2312" w:cs="Times New Roman"/>
          <w:sz w:val="30"/>
          <w:szCs w:val="30"/>
          <w:lang w:val="zh-CN"/>
        </w:rPr>
        <w:t>继续贯彻“保发展、促集约、盘存量”的思想，科学调控土地供应。在城乡统筹发展的大背景下，国土空间开发，既要满足人口增加、人民生活改善、工业化城镇化发展的需求，更要保障国家粮食安全和重要农产品有效供给。要坚持最严格的耕地保护制度，严格控制城市空间总面积的扩张，控制各类建设占用耕地，特别要保护好城市周边的永久基本农田，促进城乡空间优化和统筹发展。</w:t>
      </w:r>
    </w:p>
    <w:p w14:paraId="18E7ED96">
      <w:pPr>
        <w:adjustRightInd w:val="0"/>
        <w:snapToGrid w:val="0"/>
        <w:spacing w:line="500" w:lineRule="exact"/>
        <w:ind w:firstLine="602" w:firstLineChars="200"/>
        <w:rPr>
          <w:rFonts w:ascii="Times New Roman" w:hAnsi="Times New Roman" w:eastAsia="仿宋_GB2312" w:cs="Times New Roman"/>
          <w:sz w:val="30"/>
          <w:szCs w:val="30"/>
          <w:lang w:val="zh-CN"/>
        </w:rPr>
      </w:pPr>
      <w:r>
        <w:rPr>
          <w:rFonts w:ascii="Times New Roman" w:hAnsi="Times New Roman" w:eastAsia="仿宋_GB2312" w:cs="Times New Roman"/>
          <w:b/>
          <w:bCs/>
          <w:sz w:val="30"/>
          <w:szCs w:val="30"/>
          <w:lang w:val="zh-CN"/>
        </w:rPr>
        <w:t>促进农业空间与生态空间协调布局。</w:t>
      </w:r>
      <w:r>
        <w:rPr>
          <w:rFonts w:ascii="Times New Roman" w:hAnsi="Times New Roman" w:eastAsia="仿宋_GB2312" w:cs="Times New Roman"/>
          <w:sz w:val="30"/>
          <w:szCs w:val="30"/>
          <w:lang w:val="zh-CN"/>
        </w:rPr>
        <w:t>要充分认识农业的重要生态功能，积极发挥农业的生态、景观和间隔功能，提升农业的生态效能。在农业生产中要扎牢农业绿色发展的生态功能保障基线，充分考虑对自然生态系统的影响，不能造成生态环境的不可逆转，促进生产生态协调发展。</w:t>
      </w:r>
    </w:p>
    <w:p w14:paraId="14925834">
      <w:pPr>
        <w:spacing w:line="580" w:lineRule="exact"/>
        <w:ind w:firstLine="602" w:firstLineChars="200"/>
        <w:outlineLvl w:val="2"/>
        <w:rPr>
          <w:rFonts w:ascii="Times New Roman" w:hAnsi="Times New Roman" w:eastAsia="楷体_GB2312" w:cs="Times New Roman"/>
          <w:b/>
          <w:bCs/>
          <w:sz w:val="30"/>
          <w:szCs w:val="30"/>
        </w:rPr>
      </w:pPr>
      <w:r>
        <w:rPr>
          <w:rFonts w:ascii="Times New Roman" w:hAnsi="Times New Roman" w:eastAsia="楷体_GB2312" w:cs="Times New Roman"/>
          <w:b/>
          <w:bCs/>
          <w:sz w:val="30"/>
          <w:szCs w:val="30"/>
        </w:rPr>
        <w:t>（二）保护农业空间</w:t>
      </w:r>
    </w:p>
    <w:p w14:paraId="4D4E8C05">
      <w:pPr>
        <w:adjustRightInd w:val="0"/>
        <w:snapToGrid w:val="0"/>
        <w:spacing w:line="500" w:lineRule="exact"/>
        <w:ind w:firstLine="602" w:firstLineChars="200"/>
        <w:rPr>
          <w:rFonts w:ascii="Times New Roman" w:hAnsi="Times New Roman" w:eastAsia="仿宋_GB2312" w:cs="Times New Roman"/>
          <w:bCs/>
          <w:sz w:val="30"/>
          <w:szCs w:val="30"/>
          <w:lang w:val="zh-CN"/>
        </w:rPr>
      </w:pPr>
      <w:r>
        <w:rPr>
          <w:rFonts w:ascii="Times New Roman" w:hAnsi="Times New Roman" w:eastAsia="仿宋_GB2312" w:cs="Times New Roman"/>
          <w:b/>
          <w:sz w:val="30"/>
          <w:szCs w:val="30"/>
          <w:lang w:val="zh-CN"/>
        </w:rPr>
        <w:t>从严管控非农建设占用“两区”农田。</w:t>
      </w:r>
      <w:r>
        <w:rPr>
          <w:rFonts w:ascii="Times New Roman" w:hAnsi="Times New Roman" w:eastAsia="仿宋_GB2312" w:cs="Times New Roman"/>
          <w:sz w:val="30"/>
          <w:szCs w:val="30"/>
          <w:lang w:val="zh-CN"/>
        </w:rPr>
        <w:t>依法划定的粮食功能主产区、重要农产品生产保护区、永久基本农田保护区一经划定，任何单位和个人不得擅自占用或者擅自改变用途，严禁通过擅自调整县乡土地利用总体规划规避占用“两区”农田的审批，严禁未经审批违法违规占用。国家能源、交通水利、军事设施等重点建设项目选址确实无法避开“两区”地块，需要占用，涉及农用地转用或者征用上地的，必须经国务院批准，当地人民政府应当按照国务院的批准文件，修改“两区”划定方案，并补充划入数量和质量相当的“两区”农田。</w:t>
      </w:r>
    </w:p>
    <w:p w14:paraId="595E8072">
      <w:pPr>
        <w:adjustRightInd w:val="0"/>
        <w:snapToGrid w:val="0"/>
        <w:spacing w:line="500" w:lineRule="exact"/>
        <w:ind w:firstLine="602" w:firstLineChars="200"/>
        <w:rPr>
          <w:rFonts w:ascii="Times New Roman" w:hAnsi="Times New Roman" w:eastAsia="仿宋_GB2312" w:cs="Times New Roman"/>
          <w:sz w:val="30"/>
          <w:szCs w:val="30"/>
          <w:lang w:val="zh-CN"/>
        </w:rPr>
      </w:pPr>
      <w:r>
        <w:rPr>
          <w:rFonts w:ascii="Times New Roman" w:hAnsi="Times New Roman" w:eastAsia="仿宋_GB2312" w:cs="Times New Roman"/>
          <w:b/>
          <w:sz w:val="30"/>
          <w:szCs w:val="30"/>
          <w:lang w:val="zh-CN"/>
        </w:rPr>
        <w:t>制止各类耕地“非农化”。</w:t>
      </w:r>
      <w:r>
        <w:rPr>
          <w:rFonts w:ascii="Times New Roman" w:hAnsi="Times New Roman" w:eastAsia="仿宋_GB2312" w:cs="Times New Roman"/>
          <w:sz w:val="30"/>
          <w:szCs w:val="30"/>
          <w:lang w:val="zh-CN"/>
        </w:rPr>
        <w:t>一般耕地及其他农用地区域必须坚持以农业生产为主要用途，禁止城、镇、村建设，控制线型基础设施和独立建设项目用地；规划中已列明的重点建设项目，涉及占用限制建设区的，视为符合规划；规划中未列明但规划期内确需实施的建设项目，必须依据相关规划，经严格论证，论证通过后，方可依程序办理建设用地市批手续。</w:t>
      </w:r>
    </w:p>
    <w:p w14:paraId="19726D15">
      <w:pPr>
        <w:adjustRightInd w:val="0"/>
        <w:snapToGrid w:val="0"/>
        <w:spacing w:line="500" w:lineRule="exact"/>
        <w:ind w:firstLine="602" w:firstLineChars="200"/>
        <w:rPr>
          <w:rFonts w:ascii="Times New Roman" w:hAnsi="Times New Roman" w:eastAsia="仿宋_GB2312" w:cs="Times New Roman"/>
          <w:sz w:val="30"/>
          <w:szCs w:val="30"/>
          <w:lang w:val="zh-CN"/>
        </w:rPr>
      </w:pPr>
      <w:r>
        <w:rPr>
          <w:rFonts w:ascii="Times New Roman" w:hAnsi="Times New Roman" w:eastAsia="仿宋_GB2312" w:cs="Times New Roman"/>
          <w:b/>
          <w:sz w:val="30"/>
          <w:szCs w:val="30"/>
          <w:lang w:val="zh-CN"/>
        </w:rPr>
        <w:t>提高永久基本农田产出效率。</w:t>
      </w:r>
      <w:r>
        <w:rPr>
          <w:rFonts w:ascii="Times New Roman" w:hAnsi="Times New Roman" w:eastAsia="仿宋_GB2312" w:cs="Times New Roman"/>
          <w:sz w:val="30"/>
          <w:szCs w:val="30"/>
          <w:lang w:val="zh-CN"/>
        </w:rPr>
        <w:t>坚持数量、质量和生态并重的原则，大力开展基本农田综合整治。以高标准农田建设项目为依托，加快推进农地综合整治，配套完善农田基础设施，改善农业生产条件，辅以科技、市场等综合手段为农业</w:t>
      </w:r>
      <w:r>
        <w:rPr>
          <w:rFonts w:hint="eastAsia" w:ascii="Times New Roman" w:hAnsi="Times New Roman" w:eastAsia="仿宋_GB2312" w:cs="Times New Roman"/>
          <w:sz w:val="30"/>
          <w:szCs w:val="30"/>
          <w:lang w:val="zh-CN"/>
        </w:rPr>
        <w:t>经济</w:t>
      </w:r>
      <w:r>
        <w:rPr>
          <w:rFonts w:ascii="Times New Roman" w:hAnsi="Times New Roman" w:eastAsia="仿宋_GB2312" w:cs="Times New Roman"/>
          <w:sz w:val="30"/>
          <w:szCs w:val="30"/>
          <w:lang w:val="zh-CN"/>
        </w:rPr>
        <w:t>增强基础竞争力，提供有力的支撑和保障。提高耕地和基本农田地力等级和综合生产能力。</w:t>
      </w:r>
    </w:p>
    <w:p w14:paraId="55CF8609">
      <w:pPr>
        <w:spacing w:line="580" w:lineRule="exact"/>
        <w:jc w:val="center"/>
        <w:outlineLvl w:val="1"/>
        <w:rPr>
          <w:rFonts w:ascii="Times New Roman" w:hAnsi="Times New Roman" w:eastAsia="黑体" w:cs="Times New Roman"/>
          <w:bCs/>
          <w:sz w:val="32"/>
          <w:szCs w:val="32"/>
        </w:rPr>
      </w:pPr>
      <w:bookmarkStart w:id="82" w:name="_Toc528335027"/>
      <w:bookmarkStart w:id="83" w:name="_Toc28755"/>
      <w:bookmarkStart w:id="84" w:name="_Toc13666"/>
      <w:bookmarkStart w:id="85" w:name="_Toc514668334"/>
      <w:bookmarkStart w:id="86" w:name="_Toc514667668"/>
      <w:r>
        <w:rPr>
          <w:rFonts w:ascii="Times New Roman" w:hAnsi="Times New Roman" w:eastAsia="黑体" w:cs="Times New Roman"/>
          <w:bCs/>
          <w:sz w:val="32"/>
          <w:szCs w:val="32"/>
          <w:lang w:val="zh-CN"/>
        </w:rPr>
        <w:t xml:space="preserve">第四节  </w:t>
      </w:r>
      <w:bookmarkStart w:id="87" w:name="_Toc522718975"/>
      <w:bookmarkStart w:id="88" w:name="_Toc524444995"/>
      <w:r>
        <w:rPr>
          <w:rFonts w:ascii="Times New Roman" w:hAnsi="Times New Roman" w:eastAsia="黑体" w:cs="Times New Roman"/>
          <w:bCs/>
          <w:sz w:val="32"/>
          <w:szCs w:val="32"/>
          <w:lang w:val="zh-CN"/>
        </w:rPr>
        <w:t>不断优化城镇空间</w:t>
      </w:r>
      <w:bookmarkEnd w:id="82"/>
      <w:bookmarkEnd w:id="83"/>
      <w:bookmarkEnd w:id="84"/>
      <w:bookmarkEnd w:id="87"/>
      <w:bookmarkEnd w:id="88"/>
    </w:p>
    <w:bookmarkEnd w:id="65"/>
    <w:bookmarkEnd w:id="66"/>
    <w:bookmarkEnd w:id="85"/>
    <w:bookmarkEnd w:id="86"/>
    <w:p w14:paraId="1555E515">
      <w:pPr>
        <w:spacing w:line="580" w:lineRule="exact"/>
        <w:ind w:firstLine="602" w:firstLineChars="200"/>
        <w:outlineLvl w:val="2"/>
        <w:rPr>
          <w:rFonts w:ascii="Times New Roman" w:hAnsi="Times New Roman" w:eastAsia="楷体_GB2312" w:cs="Times New Roman"/>
          <w:b/>
          <w:bCs/>
          <w:sz w:val="30"/>
          <w:szCs w:val="30"/>
          <w:lang w:val="zh-CN"/>
        </w:rPr>
      </w:pPr>
      <w:r>
        <w:rPr>
          <w:rFonts w:hint="eastAsia" w:ascii="Times New Roman" w:hAnsi="Times New Roman" w:eastAsia="楷体_GB2312" w:cs="Times New Roman"/>
          <w:b/>
          <w:bCs/>
          <w:sz w:val="30"/>
          <w:szCs w:val="30"/>
          <w:lang w:val="zh-CN"/>
        </w:rPr>
        <w:t>（</w:t>
      </w:r>
      <w:r>
        <w:rPr>
          <w:rFonts w:hint="eastAsia" w:ascii="Times New Roman" w:hAnsi="Times New Roman" w:eastAsia="楷体_GB2312" w:cs="Times New Roman"/>
          <w:b/>
          <w:bCs/>
          <w:sz w:val="30"/>
          <w:szCs w:val="30"/>
        </w:rPr>
        <w:t>一</w:t>
      </w:r>
      <w:r>
        <w:rPr>
          <w:rFonts w:hint="eastAsia" w:ascii="Times New Roman" w:hAnsi="Times New Roman" w:eastAsia="楷体_GB2312" w:cs="Times New Roman"/>
          <w:b/>
          <w:bCs/>
          <w:sz w:val="30"/>
          <w:szCs w:val="30"/>
          <w:lang w:val="zh-CN"/>
        </w:rPr>
        <w:t>）划定城镇开发边界</w:t>
      </w:r>
    </w:p>
    <w:p w14:paraId="1B4219FE">
      <w:pPr>
        <w:adjustRightInd w:val="0"/>
        <w:snapToGrid w:val="0"/>
        <w:spacing w:line="500" w:lineRule="exact"/>
        <w:ind w:firstLine="600" w:firstLineChars="200"/>
        <w:rPr>
          <w:rFonts w:ascii="Times New Roman" w:hAnsi="Times New Roman" w:eastAsia="仿宋_GB2312" w:cs="Times New Roman"/>
          <w:sz w:val="30"/>
          <w:szCs w:val="30"/>
          <w:lang w:val="zh-CN"/>
        </w:rPr>
      </w:pPr>
      <w:r>
        <w:rPr>
          <w:rFonts w:hint="eastAsia" w:ascii="Times New Roman" w:hAnsi="Times New Roman" w:eastAsia="仿宋_GB2312" w:cs="Times New Roman"/>
          <w:sz w:val="30"/>
          <w:szCs w:val="30"/>
          <w:lang w:val="zh-CN"/>
        </w:rPr>
        <w:t>为防治城镇盲目扩张和无序蔓延，促进城镇发展由外延扩张向内涵提升转变，优化城镇布局形态和功能结构，以国土空间适宜性评价为基础、资源承载力为约束，与生态保护线和永久基本农田划定相协调，划定城镇开发边界。</w:t>
      </w:r>
    </w:p>
    <w:p w14:paraId="51EBE410">
      <w:pPr>
        <w:adjustRightInd w:val="0"/>
        <w:snapToGrid w:val="0"/>
        <w:spacing w:line="500" w:lineRule="exact"/>
        <w:ind w:firstLine="600" w:firstLineChars="200"/>
        <w:rPr>
          <w:rFonts w:ascii="Times New Roman" w:hAnsi="Times New Roman" w:eastAsia="仿宋_GB2312" w:cs="Times New Roman"/>
          <w:sz w:val="30"/>
          <w:szCs w:val="30"/>
          <w:lang w:val="zh-CN"/>
        </w:rPr>
      </w:pPr>
      <w:r>
        <w:rPr>
          <w:rFonts w:hint="eastAsia" w:ascii="Times New Roman" w:hAnsi="Times New Roman" w:eastAsia="仿宋_GB2312" w:cs="Times New Roman"/>
          <w:sz w:val="30"/>
          <w:szCs w:val="30"/>
          <w:lang w:val="zh-CN"/>
        </w:rPr>
        <w:t>市级国土空间规划给洛隆县指标分配为2035规划城镇用地361.76公顷。洛隆</w:t>
      </w:r>
      <w:r>
        <w:rPr>
          <w:rFonts w:ascii="Times New Roman" w:hAnsi="Times New Roman" w:eastAsia="仿宋_GB2312" w:cs="Times New Roman"/>
          <w:sz w:val="30"/>
          <w:szCs w:val="30"/>
          <w:lang w:val="zh-CN"/>
        </w:rPr>
        <w:t>县</w:t>
      </w:r>
      <w:r>
        <w:rPr>
          <w:rFonts w:hint="eastAsia" w:ascii="Times New Roman" w:hAnsi="Times New Roman" w:eastAsia="仿宋_GB2312" w:cs="Times New Roman"/>
          <w:sz w:val="30"/>
          <w:szCs w:val="30"/>
          <w:lang w:val="zh-CN"/>
        </w:rPr>
        <w:t>中心县城开发边界划定原则为：以现状用地为基础，沿主要交通G349线及河道向西北拓展。现状城镇建设用地：176.92公顷；规划城镇建设用地：269.35公顷；新增建设用地：81.75公顷。</w:t>
      </w:r>
    </w:p>
    <w:p w14:paraId="61991BE4">
      <w:pPr>
        <w:adjustRightInd w:val="0"/>
        <w:snapToGrid w:val="0"/>
        <w:spacing w:line="500" w:lineRule="exact"/>
        <w:ind w:firstLine="600" w:firstLineChars="200"/>
        <w:rPr>
          <w:rFonts w:ascii="Times New Roman" w:hAnsi="Times New Roman" w:eastAsia="仿宋_GB2312" w:cs="Times New Roman"/>
          <w:sz w:val="30"/>
          <w:szCs w:val="30"/>
          <w:lang w:val="zh-CN"/>
        </w:rPr>
      </w:pPr>
      <w:r>
        <w:rPr>
          <w:rFonts w:hint="eastAsia" w:ascii="Times New Roman" w:hAnsi="Times New Roman" w:eastAsia="仿宋_GB2312" w:cs="Times New Roman"/>
          <w:sz w:val="30"/>
          <w:szCs w:val="30"/>
          <w:lang w:val="zh-CN"/>
        </w:rPr>
        <w:t>同时，根据已确定重大项目的空间需求，结合基地条件、基本农田等前提条件进行空间落位。其中，主要为川藏铁路洛隆站预留用地约10.66公顷。</w:t>
      </w:r>
    </w:p>
    <w:p w14:paraId="49CFF11D">
      <w:pPr>
        <w:spacing w:line="580" w:lineRule="exact"/>
        <w:ind w:firstLine="602" w:firstLineChars="200"/>
        <w:outlineLvl w:val="2"/>
        <w:rPr>
          <w:rFonts w:ascii="Times New Roman" w:hAnsi="Times New Roman" w:eastAsia="楷体_GB2312" w:cs="Times New Roman"/>
          <w:b/>
          <w:bCs/>
          <w:sz w:val="30"/>
          <w:szCs w:val="30"/>
          <w:lang w:val="zh-CN"/>
        </w:rPr>
      </w:pPr>
      <w:r>
        <w:rPr>
          <w:rFonts w:hint="eastAsia" w:ascii="Times New Roman" w:hAnsi="Times New Roman" w:eastAsia="楷体_GB2312" w:cs="Times New Roman"/>
          <w:b/>
          <w:bCs/>
          <w:sz w:val="30"/>
          <w:szCs w:val="30"/>
          <w:lang w:val="zh-CN"/>
        </w:rPr>
        <w:t>（</w:t>
      </w:r>
      <w:r>
        <w:rPr>
          <w:rFonts w:hint="eastAsia" w:ascii="Times New Roman" w:hAnsi="Times New Roman" w:eastAsia="楷体_GB2312" w:cs="Times New Roman"/>
          <w:b/>
          <w:bCs/>
          <w:sz w:val="30"/>
          <w:szCs w:val="30"/>
        </w:rPr>
        <w:t>二</w:t>
      </w:r>
      <w:r>
        <w:rPr>
          <w:rFonts w:hint="eastAsia" w:ascii="Times New Roman" w:hAnsi="Times New Roman" w:eastAsia="楷体_GB2312" w:cs="Times New Roman"/>
          <w:b/>
          <w:bCs/>
          <w:sz w:val="30"/>
          <w:szCs w:val="30"/>
          <w:lang w:val="zh-CN"/>
        </w:rPr>
        <w:t>）</w:t>
      </w:r>
      <w:r>
        <w:rPr>
          <w:rFonts w:ascii="Times New Roman" w:hAnsi="Times New Roman" w:eastAsia="楷体_GB2312" w:cs="Times New Roman"/>
          <w:b/>
          <w:bCs/>
          <w:sz w:val="30"/>
          <w:szCs w:val="30"/>
          <w:lang w:val="zh-CN"/>
        </w:rPr>
        <w:t>严格城镇开发边界管制</w:t>
      </w:r>
    </w:p>
    <w:p w14:paraId="4961C5F8">
      <w:pPr>
        <w:adjustRightInd w:val="0"/>
        <w:snapToGrid w:val="0"/>
        <w:spacing w:line="500" w:lineRule="exact"/>
        <w:ind w:firstLine="600" w:firstLineChars="200"/>
        <w:rPr>
          <w:rFonts w:ascii="Times New Roman" w:hAnsi="Times New Roman" w:eastAsia="仿宋_GB2312" w:cs="Times New Roman"/>
          <w:sz w:val="30"/>
          <w:szCs w:val="30"/>
          <w:lang w:val="zh-CN"/>
        </w:rPr>
      </w:pPr>
      <w:r>
        <w:rPr>
          <w:rFonts w:ascii="Times New Roman" w:hAnsi="Times New Roman" w:eastAsia="仿宋_GB2312" w:cs="Times New Roman"/>
          <w:sz w:val="30"/>
          <w:szCs w:val="30"/>
          <w:lang w:val="zh-CN"/>
        </w:rPr>
        <w:t>城镇开发边界内土地主要用于城镇、产业园区和部分村庄建设；边界外主要以农业发展和生态保护为主，但零星用地除外。城镇开发边界内是城市建设的集中区域，在符合土地利用总体规划和城市规划的前提下，可依法、依规进行土地利用；城镇开发边界外主要以生态保护为主，但符合土地利用总体规划的独立、零星建设用地仍可按照相应程序进行土地利用。</w:t>
      </w:r>
    </w:p>
    <w:p w14:paraId="1DD8F3FC">
      <w:pPr>
        <w:adjustRightInd w:val="0"/>
        <w:snapToGrid w:val="0"/>
        <w:spacing w:line="500" w:lineRule="exact"/>
        <w:ind w:firstLine="600" w:firstLineChars="200"/>
        <w:rPr>
          <w:rFonts w:ascii="Times New Roman" w:hAnsi="Times New Roman" w:eastAsia="仿宋_GB2312" w:cs="Times New Roman"/>
          <w:sz w:val="30"/>
          <w:szCs w:val="30"/>
          <w:lang w:val="zh-CN"/>
        </w:rPr>
        <w:sectPr>
          <w:headerReference r:id="rId8" w:type="default"/>
          <w:pgSz w:w="11906" w:h="16838"/>
          <w:pgMar w:top="1440" w:right="1800" w:bottom="1440" w:left="1800" w:header="851" w:footer="992" w:gutter="0"/>
          <w:cols w:space="720" w:num="1"/>
          <w:docGrid w:type="lines" w:linePitch="312" w:charSpace="0"/>
        </w:sectPr>
      </w:pPr>
    </w:p>
    <w:p w14:paraId="2EB215A1">
      <w:pPr>
        <w:pageBreakBefore/>
        <w:spacing w:line="580" w:lineRule="exact"/>
        <w:jc w:val="center"/>
        <w:outlineLvl w:val="0"/>
        <w:rPr>
          <w:rFonts w:ascii="方正小标宋简体" w:hAnsi="Times New Roman" w:eastAsia="方正小标宋简体" w:cs="Times New Roman"/>
          <w:sz w:val="36"/>
          <w:szCs w:val="36"/>
        </w:rPr>
      </w:pPr>
      <w:bookmarkStart w:id="89" w:name="_Toc528335028"/>
      <w:bookmarkStart w:id="90" w:name="_Toc18827"/>
      <w:bookmarkStart w:id="91" w:name="_Toc4260"/>
      <w:bookmarkStart w:id="92" w:name="_Toc514667670"/>
      <w:r>
        <w:rPr>
          <w:rFonts w:ascii="方正小标宋简体" w:hAnsi="Times New Roman" w:eastAsia="方正小标宋简体" w:cs="Times New Roman"/>
          <w:sz w:val="36"/>
          <w:szCs w:val="36"/>
        </w:rPr>
        <w:t xml:space="preserve">第四章 </w:t>
      </w:r>
      <w:bookmarkEnd w:id="89"/>
      <w:r>
        <w:rPr>
          <w:rFonts w:ascii="方正小标宋简体" w:hAnsi="Times New Roman" w:eastAsia="方正小标宋简体" w:cs="Times New Roman"/>
          <w:sz w:val="36"/>
          <w:szCs w:val="36"/>
        </w:rPr>
        <w:t>发展生态经济，实现高质量绿色发展</w:t>
      </w:r>
      <w:bookmarkEnd w:id="90"/>
      <w:bookmarkEnd w:id="91"/>
    </w:p>
    <w:bookmarkEnd w:id="92"/>
    <w:p w14:paraId="1A7B8F2C">
      <w:pPr>
        <w:spacing w:line="580" w:lineRule="exact"/>
        <w:jc w:val="center"/>
        <w:outlineLvl w:val="1"/>
        <w:rPr>
          <w:rFonts w:ascii="Times New Roman" w:hAnsi="Times New Roman" w:eastAsia="黑体" w:cs="Times New Roman"/>
          <w:bCs/>
          <w:sz w:val="32"/>
          <w:szCs w:val="32"/>
        </w:rPr>
      </w:pPr>
      <w:bookmarkStart w:id="93" w:name="_Toc467169889"/>
      <w:bookmarkStart w:id="94" w:name="_Toc528335029"/>
      <w:bookmarkStart w:id="95" w:name="_Toc514667671"/>
      <w:bookmarkStart w:id="96" w:name="_Toc28043"/>
      <w:bookmarkStart w:id="97" w:name="_Toc21984"/>
      <w:bookmarkStart w:id="98" w:name="_Toc528335038"/>
      <w:bookmarkStart w:id="99" w:name="_Toc524445011"/>
      <w:bookmarkStart w:id="100" w:name="_Toc522718988"/>
      <w:bookmarkStart w:id="101" w:name="_Hlk57669472"/>
      <w:bookmarkStart w:id="102" w:name="_Toc528335030"/>
    </w:p>
    <w:p w14:paraId="00F48A53">
      <w:pPr>
        <w:spacing w:line="580" w:lineRule="exact"/>
        <w:jc w:val="center"/>
        <w:outlineLvl w:val="1"/>
        <w:rPr>
          <w:rFonts w:ascii="Times New Roman" w:hAnsi="Times New Roman" w:eastAsia="黑体" w:cs="Times New Roman"/>
          <w:bCs/>
          <w:sz w:val="32"/>
          <w:szCs w:val="32"/>
        </w:rPr>
      </w:pPr>
      <w:r>
        <w:rPr>
          <w:rFonts w:ascii="Times New Roman" w:hAnsi="Times New Roman" w:eastAsia="黑体" w:cs="Times New Roman"/>
          <w:bCs/>
          <w:sz w:val="32"/>
          <w:szCs w:val="32"/>
        </w:rPr>
        <w:t xml:space="preserve">第一节  </w:t>
      </w:r>
      <w:bookmarkEnd w:id="93"/>
      <w:bookmarkEnd w:id="94"/>
      <w:bookmarkEnd w:id="95"/>
      <w:r>
        <w:rPr>
          <w:rFonts w:hint="eastAsia" w:ascii="Times New Roman" w:hAnsi="Times New Roman" w:eastAsia="黑体" w:cs="Times New Roman"/>
          <w:bCs/>
          <w:sz w:val="32"/>
          <w:szCs w:val="32"/>
        </w:rPr>
        <w:t>推进转型升级，壮大绿色产业</w:t>
      </w:r>
      <w:bookmarkEnd w:id="96"/>
      <w:bookmarkEnd w:id="97"/>
    </w:p>
    <w:p w14:paraId="406B348B">
      <w:pPr>
        <w:spacing w:line="580" w:lineRule="exact"/>
        <w:ind w:firstLine="602" w:firstLineChars="200"/>
        <w:outlineLvl w:val="2"/>
        <w:rPr>
          <w:rFonts w:ascii="Times New Roman" w:hAnsi="Times New Roman" w:eastAsia="楷体_GB2312" w:cs="Times New Roman"/>
          <w:b/>
          <w:bCs/>
          <w:sz w:val="30"/>
          <w:szCs w:val="30"/>
        </w:rPr>
      </w:pPr>
      <w:bookmarkStart w:id="103" w:name="_Toc514668348"/>
      <w:bookmarkEnd w:id="103"/>
      <w:bookmarkStart w:id="104" w:name="_Toc514667681"/>
      <w:bookmarkEnd w:id="104"/>
      <w:bookmarkStart w:id="105" w:name="_Toc514668347"/>
      <w:bookmarkEnd w:id="105"/>
      <w:bookmarkStart w:id="106" w:name="_Toc514917861"/>
      <w:bookmarkEnd w:id="106"/>
      <w:bookmarkStart w:id="107" w:name="_Toc515435806"/>
      <w:bookmarkEnd w:id="107"/>
      <w:bookmarkStart w:id="108" w:name="_Toc514917860"/>
      <w:bookmarkEnd w:id="108"/>
      <w:bookmarkStart w:id="109" w:name="_Toc514667682"/>
      <w:bookmarkEnd w:id="109"/>
      <w:bookmarkStart w:id="110" w:name="_Toc32466"/>
      <w:r>
        <w:rPr>
          <w:rFonts w:ascii="Times New Roman" w:hAnsi="Times New Roman" w:eastAsia="楷体_GB2312" w:cs="Times New Roman"/>
          <w:b/>
          <w:bCs/>
          <w:sz w:val="30"/>
          <w:szCs w:val="30"/>
        </w:rPr>
        <w:t>（一）</w:t>
      </w:r>
      <w:r>
        <w:rPr>
          <w:rFonts w:hint="eastAsia" w:ascii="Times New Roman" w:hAnsi="Times New Roman" w:eastAsia="楷体_GB2312" w:cs="Times New Roman"/>
          <w:b/>
          <w:bCs/>
          <w:sz w:val="30"/>
          <w:szCs w:val="30"/>
        </w:rPr>
        <w:t>做强</w:t>
      </w:r>
      <w:r>
        <w:rPr>
          <w:rFonts w:ascii="Times New Roman" w:hAnsi="Times New Roman" w:eastAsia="楷体_GB2312" w:cs="Times New Roman"/>
          <w:b/>
          <w:bCs/>
          <w:sz w:val="30"/>
          <w:szCs w:val="30"/>
        </w:rPr>
        <w:t>生态农牧业</w:t>
      </w:r>
    </w:p>
    <w:p w14:paraId="6BCBA0A5">
      <w:pPr>
        <w:adjustRightInd w:val="0"/>
        <w:snapToGrid w:val="0"/>
        <w:spacing w:line="500" w:lineRule="exact"/>
        <w:ind w:firstLine="602" w:firstLineChars="200"/>
        <w:rPr>
          <w:rFonts w:ascii="Times New Roman" w:hAnsi="Times New Roman" w:eastAsia="仿宋_GB2312" w:cs="Times New Roman"/>
          <w:sz w:val="30"/>
          <w:szCs w:val="30"/>
        </w:rPr>
      </w:pPr>
      <w:r>
        <w:rPr>
          <w:rFonts w:hint="eastAsia" w:ascii="Times New Roman" w:hAnsi="Times New Roman" w:eastAsia="仿宋_GB2312" w:cs="Times New Roman"/>
          <w:b/>
          <w:sz w:val="30"/>
          <w:szCs w:val="30"/>
        </w:rPr>
        <w:t>优化农业产业发展布局</w:t>
      </w:r>
      <w:r>
        <w:rPr>
          <w:rFonts w:ascii="Times New Roman" w:hAnsi="Times New Roman" w:eastAsia="仿宋_GB2312" w:cs="Times New Roman"/>
          <w:b/>
          <w:sz w:val="30"/>
          <w:szCs w:val="30"/>
        </w:rPr>
        <w:t>。</w:t>
      </w:r>
      <w:r>
        <w:rPr>
          <w:rFonts w:hint="eastAsia" w:ascii="Times New Roman" w:hAnsi="Times New Roman" w:eastAsia="仿宋_GB2312" w:cs="Times New Roman"/>
          <w:sz w:val="30"/>
          <w:szCs w:val="30"/>
        </w:rPr>
        <w:t>按照昌都市打造“西粮仓”、建设昌都西部生态绿色农产品主产区定位，确立洛隆“一核两园三区一带”农牧业产业发展格局。以县工业园区为载体，构建集农牧产品加工和仓储物流、科技研发、展示交易、信息服务等功能于一体的现代农业引领示范发展的核心区。着力打造俄西生态农业园和孜托镇现代农业园。建成以腊久、康沙、中亦为重点的畜牧养殖发展区；以孜托、俄西、白达、达龙为中心的青稞和蔬菜种植区；以白达、达龙、腊久江云、俄西贡中为中心的特色林果发展区。</w:t>
      </w:r>
    </w:p>
    <w:p w14:paraId="7DDED1AC">
      <w:pPr>
        <w:adjustRightInd w:val="0"/>
        <w:snapToGrid w:val="0"/>
        <w:spacing w:line="500" w:lineRule="exact"/>
        <w:ind w:firstLine="602" w:firstLineChars="200"/>
        <w:rPr>
          <w:rFonts w:ascii="Times New Roman" w:hAnsi="Times New Roman" w:eastAsia="仿宋_GB2312" w:cs="Times New Roman"/>
          <w:sz w:val="30"/>
          <w:szCs w:val="30"/>
        </w:rPr>
      </w:pPr>
      <w:r>
        <w:rPr>
          <w:rFonts w:hint="eastAsia" w:ascii="Times New Roman" w:hAnsi="Times New Roman" w:eastAsia="仿宋_GB2312" w:cs="Times New Roman"/>
          <w:b/>
          <w:sz w:val="30"/>
          <w:szCs w:val="30"/>
        </w:rPr>
        <w:t>构建现代农业产业体系</w:t>
      </w:r>
      <w:r>
        <w:rPr>
          <w:rFonts w:ascii="Times New Roman" w:hAnsi="Times New Roman" w:eastAsia="仿宋_GB2312" w:cs="Times New Roman"/>
          <w:b/>
          <w:sz w:val="30"/>
          <w:szCs w:val="30"/>
        </w:rPr>
        <w:t>。</w:t>
      </w:r>
      <w:r>
        <w:rPr>
          <w:rFonts w:hint="eastAsia" w:ascii="Times New Roman" w:hAnsi="Times New Roman" w:eastAsia="仿宋_GB2312" w:cs="Times New Roman"/>
          <w:sz w:val="30"/>
          <w:szCs w:val="30"/>
        </w:rPr>
        <w:t>优化农业产业结构，到2025年，建成以青稞为主的优质粮业、以藏猪和肉牛为主的生态高效畜牧业、以蔬菜（含食用菌）为主的设施农业3大主导优势产业以及林果等特色产业，形成“3+X”产业集群。巩固粮食主产县地位。深入实施藏粮于地、藏粮于技战略，以青稞良种繁育基地为重点，做优做强青稞主导产业。结合粮食生产功能区划定，建设2万亩优质青稞良种繁育基地、0.5万亩马铃薯生产基地和1000亩油菜生产基地，提高土地产出率和种粮效益。以孜托镇、腊久乡、康沙镇、中亦乡为重点，大力发展标准化规模养殖和无抗养殖，提高畜牧种业水平，积极推进畜牧产品加工业。在孜托镇、腊久乡新建生猪养殖基地2个，扩建卡若香猪养殖基地；在腊久乡建设牦牛保种选育基地1个，发展牦牛养殖小区；实施阿旺绵羊基地建设项目，在康沙镇、腊久乡建设绵羊短期育肥基地2个；实施城郊奶牛养殖项目；扩建玛嘎民乐红拉山鸡养殖基地。</w:t>
      </w:r>
    </w:p>
    <w:p w14:paraId="681EBDE0">
      <w:pPr>
        <w:adjustRightInd w:val="0"/>
        <w:snapToGrid w:val="0"/>
        <w:spacing w:line="500" w:lineRule="exact"/>
        <w:ind w:firstLine="602" w:firstLineChars="200"/>
        <w:rPr>
          <w:rFonts w:ascii="Times New Roman" w:hAnsi="Times New Roman" w:eastAsia="仿宋_GB2312" w:cs="Times New Roman"/>
          <w:sz w:val="30"/>
          <w:szCs w:val="30"/>
        </w:rPr>
      </w:pPr>
      <w:r>
        <w:rPr>
          <w:rFonts w:hint="eastAsia" w:ascii="Times New Roman" w:hAnsi="Times New Roman" w:eastAsia="仿宋_GB2312" w:cs="Times New Roman"/>
          <w:b/>
          <w:sz w:val="30"/>
          <w:szCs w:val="30"/>
        </w:rPr>
        <w:t>做大做强设施农业。</w:t>
      </w:r>
      <w:r>
        <w:rPr>
          <w:rFonts w:hint="eastAsia" w:ascii="Times New Roman" w:hAnsi="Times New Roman" w:eastAsia="仿宋_GB2312" w:cs="Times New Roman"/>
          <w:sz w:val="30"/>
          <w:szCs w:val="30"/>
        </w:rPr>
        <w:t>以孜托镇、俄西乡、白达乡、达龙乡为中心，积极引导设施农业规模化发展，到2025年，设施生产基地达到3300亩规模，设施农业面积占耕地比重由1.77%提高到3.21%，全县蔬菜产量达到2万吨以上。</w:t>
      </w:r>
    </w:p>
    <w:p w14:paraId="7E672718">
      <w:pPr>
        <w:adjustRightInd w:val="0"/>
        <w:snapToGrid w:val="0"/>
        <w:spacing w:line="500" w:lineRule="exact"/>
        <w:ind w:firstLine="602" w:firstLineChars="200"/>
        <w:rPr>
          <w:rFonts w:ascii="Times New Roman" w:hAnsi="Times New Roman" w:eastAsia="仿宋_GB2312" w:cs="Times New Roman"/>
          <w:sz w:val="30"/>
          <w:szCs w:val="30"/>
        </w:rPr>
      </w:pPr>
      <w:r>
        <w:rPr>
          <w:rFonts w:hint="eastAsia" w:ascii="Times New Roman" w:hAnsi="Times New Roman" w:eastAsia="仿宋_GB2312" w:cs="Times New Roman"/>
          <w:b/>
          <w:sz w:val="30"/>
          <w:szCs w:val="30"/>
        </w:rPr>
        <w:t>适度发展经济林业。</w:t>
      </w:r>
      <w:r>
        <w:rPr>
          <w:rFonts w:hint="eastAsia" w:ascii="Times New Roman" w:hAnsi="Times New Roman" w:eastAsia="仿宋_GB2312" w:cs="Times New Roman"/>
          <w:sz w:val="30"/>
          <w:szCs w:val="30"/>
        </w:rPr>
        <w:t>聚焦苹果、桃和大樱桃，以果品营销、良种苗木、标准果园、科技研发和生产经营“五大体系”建设为重点，进一步优化种植结构和品种布局，积极推进适度规模的标准化生产经营。强化果品后整理能力，促进果品就地就近加工，努力提高果业综合效益，使果业经济成为农业发展和农牧民致富的有力支撑。进一步做优核桃产业，鼓励发展林果精深加工，延长产业链，提高附加值。到2025年，力争建成1万亩特色水果基地，年产水果1000吨。</w:t>
      </w:r>
    </w:p>
    <w:p w14:paraId="5653B310">
      <w:pPr>
        <w:adjustRightInd w:val="0"/>
        <w:snapToGrid w:val="0"/>
        <w:spacing w:line="500" w:lineRule="exact"/>
        <w:ind w:firstLine="602" w:firstLineChars="200"/>
        <w:rPr>
          <w:rFonts w:ascii="Times New Roman" w:hAnsi="Times New Roman" w:eastAsia="仿宋_GB2312" w:cs="Times New Roman"/>
          <w:sz w:val="30"/>
          <w:szCs w:val="30"/>
        </w:rPr>
      </w:pPr>
      <w:r>
        <w:rPr>
          <w:rFonts w:hint="eastAsia" w:ascii="Times New Roman" w:hAnsi="Times New Roman" w:eastAsia="仿宋_GB2312" w:cs="Times New Roman"/>
          <w:b/>
          <w:sz w:val="30"/>
          <w:szCs w:val="30"/>
        </w:rPr>
        <w:t>改善农业生产发展条件</w:t>
      </w:r>
      <w:r>
        <w:rPr>
          <w:rFonts w:ascii="Times New Roman" w:hAnsi="Times New Roman" w:eastAsia="仿宋_GB2312" w:cs="Times New Roman"/>
          <w:b/>
          <w:sz w:val="30"/>
          <w:szCs w:val="30"/>
        </w:rPr>
        <w:t>。</w:t>
      </w:r>
      <w:r>
        <w:rPr>
          <w:rFonts w:hint="eastAsia" w:ascii="Times New Roman" w:hAnsi="Times New Roman" w:eastAsia="仿宋_GB2312" w:cs="Times New Roman"/>
          <w:sz w:val="30"/>
          <w:szCs w:val="30"/>
        </w:rPr>
        <w:t>加强基础设施建设。严守耕地红线，全面落实永久基本农田特殊保护制度，加强耕地质量保护与提升，推进农村土地整治和高标准农田建设，加快中低产田改造，加强农田水利建设，推进小型农田水利设施达标提质，建设一批高效节水灌溉工程和水肥一体化工程，夯实农业物质装备基础，提高农业设施化和机械化水平。分区分片规模化开展高标准农田建设，推进中低产田改造，建设旱涝保收高标准农田2.5万亩。</w:t>
      </w:r>
    </w:p>
    <w:p w14:paraId="640943A7">
      <w:pPr>
        <w:adjustRightInd w:val="0"/>
        <w:snapToGrid w:val="0"/>
        <w:spacing w:line="500" w:lineRule="exact"/>
        <w:ind w:firstLine="602" w:firstLineChars="200"/>
        <w:rPr>
          <w:rFonts w:ascii="Times New Roman" w:hAnsi="Times New Roman" w:eastAsia="仿宋_GB2312" w:cs="Times New Roman"/>
          <w:bCs/>
          <w:sz w:val="30"/>
          <w:szCs w:val="30"/>
        </w:rPr>
      </w:pPr>
      <w:r>
        <w:rPr>
          <w:rFonts w:hint="eastAsia" w:ascii="Times New Roman" w:hAnsi="Times New Roman" w:eastAsia="仿宋_GB2312" w:cs="Times New Roman"/>
          <w:b/>
          <w:sz w:val="30"/>
          <w:szCs w:val="30"/>
        </w:rPr>
        <w:t>加强牧业基础设施建设。</w:t>
      </w:r>
      <w:r>
        <w:rPr>
          <w:rFonts w:hint="eastAsia" w:ascii="Times New Roman" w:hAnsi="Times New Roman" w:eastAsia="仿宋_GB2312" w:cs="Times New Roman"/>
          <w:sz w:val="30"/>
          <w:szCs w:val="30"/>
        </w:rPr>
        <w:t>结合天然草场改良和退耕还草工程，进一步加大人工饲草基地建设，着力建设草场围栏、草地平整、灌排配套等基础设施。改良畜禽品种，优化饲养方式，稳步增加舍饲规模，科学安排育肥周期，提高出栏率。推进畜牧业标准化养殖基地建设，以标准化、规模化养殖基地建设为重点，配套建设水、电、路、网络、防疫、冷链等牧业基础设施，提高物质装备水平，为现代畜牧业发展奠定坚实基础。建成灌溉人工草地1.5万亩、旱作人工草地1万亩、饲草料基地5000亩。在孜托镇、腊久乡新建生猪养殖基地2个，在腊久乡建设牦牛保种选育基地1个，建设阿旺绵羊扩繁场1个，在康沙镇、腊久乡建设绵羊短期育肥基地2个，实施城郊奶牛养殖项目，扶持建设一批养殖小区。</w:t>
      </w:r>
    </w:p>
    <w:p w14:paraId="52754B83">
      <w:pPr>
        <w:adjustRightInd w:val="0"/>
        <w:snapToGrid w:val="0"/>
        <w:spacing w:line="500" w:lineRule="exact"/>
        <w:ind w:firstLine="602" w:firstLineChars="200"/>
        <w:rPr>
          <w:rFonts w:ascii="Times New Roman" w:hAnsi="Times New Roman" w:eastAsia="仿宋_GB2312" w:cs="Times New Roman"/>
          <w:bCs/>
          <w:sz w:val="30"/>
          <w:szCs w:val="30"/>
        </w:rPr>
      </w:pPr>
      <w:r>
        <w:rPr>
          <w:rFonts w:hint="eastAsia" w:ascii="Times New Roman" w:hAnsi="Times New Roman" w:eastAsia="仿宋_GB2312" w:cs="Times New Roman"/>
          <w:b/>
          <w:sz w:val="30"/>
          <w:szCs w:val="30"/>
        </w:rPr>
        <w:t>大力发展智慧农业。</w:t>
      </w:r>
      <w:r>
        <w:rPr>
          <w:rFonts w:hint="eastAsia" w:ascii="Times New Roman" w:hAnsi="Times New Roman" w:eastAsia="仿宋_GB2312" w:cs="Times New Roman"/>
          <w:sz w:val="30"/>
          <w:szCs w:val="30"/>
        </w:rPr>
        <w:t>实施“互联网+”现代农业行动，推进物联网、云计算、大数据、移动互联等技术在农业领域的应用，打造智慧农业技术应用示范样板。</w:t>
      </w:r>
    </w:p>
    <w:p w14:paraId="78DEC55E">
      <w:pPr>
        <w:adjustRightInd w:val="0"/>
        <w:snapToGrid w:val="0"/>
        <w:spacing w:line="500" w:lineRule="exact"/>
        <w:ind w:firstLine="602" w:firstLineChars="200"/>
        <w:rPr>
          <w:rFonts w:ascii="Times New Roman" w:hAnsi="Times New Roman" w:eastAsia="仿宋_GB2312" w:cs="Times New Roman"/>
          <w:sz w:val="30"/>
          <w:szCs w:val="30"/>
        </w:rPr>
      </w:pPr>
      <w:r>
        <w:rPr>
          <w:rFonts w:hint="eastAsia" w:ascii="Times New Roman" w:hAnsi="Times New Roman" w:eastAsia="仿宋_GB2312" w:cs="Times New Roman"/>
          <w:b/>
          <w:sz w:val="30"/>
          <w:szCs w:val="30"/>
        </w:rPr>
        <w:t>全面推进农业标准化生产。</w:t>
      </w:r>
      <w:r>
        <w:rPr>
          <w:rFonts w:hint="eastAsia" w:ascii="Times New Roman" w:hAnsi="Times New Roman" w:eastAsia="仿宋_GB2312" w:cs="Times New Roman"/>
          <w:sz w:val="30"/>
          <w:szCs w:val="30"/>
        </w:rPr>
        <w:t>施加有机肥2000吨，提升地力1万亩；建设有机肥厂1座；在孜托镇古曲村建设1个绿色生态循环农业示范区，在俄西乡和孜托镇建设2个绿色有机农产品生产示范基地。到2025年，全县认证并有效使用标志的“三品”农产品厂家数量达到10个以上。</w:t>
      </w:r>
    </w:p>
    <w:p w14:paraId="15468CC1">
      <w:pPr>
        <w:adjustRightInd w:val="0"/>
        <w:snapToGrid w:val="0"/>
        <w:spacing w:line="500" w:lineRule="exact"/>
        <w:ind w:firstLine="602" w:firstLineChars="200"/>
        <w:rPr>
          <w:rFonts w:ascii="Times New Roman" w:hAnsi="Times New Roman" w:eastAsia="仿宋_GB2312" w:cs="Times New Roman"/>
          <w:sz w:val="30"/>
          <w:szCs w:val="30"/>
        </w:rPr>
      </w:pPr>
      <w:r>
        <w:rPr>
          <w:rFonts w:hint="eastAsia" w:ascii="Times New Roman" w:hAnsi="Times New Roman" w:eastAsia="仿宋_GB2312" w:cs="Times New Roman"/>
          <w:b/>
          <w:sz w:val="30"/>
          <w:szCs w:val="30"/>
        </w:rPr>
        <w:t>形成特色农牧业旅游集聚带。</w:t>
      </w:r>
      <w:r>
        <w:rPr>
          <w:rFonts w:hint="eastAsia" w:ascii="Times New Roman" w:hAnsi="Times New Roman" w:eastAsia="仿宋_GB2312" w:cs="Times New Roman"/>
          <w:sz w:val="30"/>
          <w:szCs w:val="30"/>
        </w:rPr>
        <w:t>以卓玛朗措、巴洞措、硕督历史文化名镇、俄西生态农业园、孜托夏果村现代农业园为重点，以特色小镇（边疆民族小镇）、田园综合体和中心村为依托，引导建设各具特色的乡村景观，布局发展旅游度假、康体养生、休闲观光等文旅产业，配套发展餐饮服务、特色民宿等生活性服务业，通过开发观光农业、休闲农业、农事体验、科普教育，形成特色农牧业产业集聚带，促进农旅融合发展。</w:t>
      </w:r>
    </w:p>
    <w:p w14:paraId="4E928747">
      <w:pPr>
        <w:spacing w:line="580" w:lineRule="exact"/>
        <w:ind w:firstLine="602" w:firstLineChars="200"/>
        <w:outlineLvl w:val="2"/>
        <w:rPr>
          <w:rFonts w:ascii="Times New Roman" w:hAnsi="Times New Roman" w:eastAsia="楷体_GB2312" w:cs="Times New Roman"/>
          <w:b/>
          <w:bCs/>
          <w:sz w:val="30"/>
          <w:szCs w:val="30"/>
        </w:rPr>
      </w:pPr>
      <w:r>
        <w:rPr>
          <w:rFonts w:ascii="Times New Roman" w:hAnsi="Times New Roman" w:eastAsia="楷体_GB2312" w:cs="Times New Roman"/>
          <w:b/>
          <w:bCs/>
          <w:sz w:val="30"/>
          <w:szCs w:val="30"/>
        </w:rPr>
        <w:t>（二）</w:t>
      </w:r>
      <w:r>
        <w:rPr>
          <w:rFonts w:hint="eastAsia" w:ascii="Times New Roman" w:hAnsi="Times New Roman" w:eastAsia="楷体_GB2312" w:cs="Times New Roman"/>
          <w:b/>
          <w:bCs/>
          <w:sz w:val="30"/>
          <w:szCs w:val="30"/>
        </w:rPr>
        <w:t>提质增效做优绿色工业</w:t>
      </w:r>
    </w:p>
    <w:p w14:paraId="665C8D5A">
      <w:pPr>
        <w:adjustRightInd w:val="0"/>
        <w:snapToGrid w:val="0"/>
        <w:spacing w:line="500" w:lineRule="exact"/>
        <w:ind w:firstLine="602" w:firstLineChars="200"/>
        <w:rPr>
          <w:rFonts w:ascii="Times New Roman" w:hAnsi="Times New Roman" w:eastAsia="仿宋_GB2312" w:cs="Times New Roman"/>
          <w:sz w:val="30"/>
          <w:szCs w:val="30"/>
        </w:rPr>
      </w:pPr>
      <w:r>
        <w:rPr>
          <w:rFonts w:hint="eastAsia" w:ascii="Times New Roman" w:hAnsi="Times New Roman" w:eastAsia="仿宋_GB2312" w:cs="Times New Roman"/>
          <w:b/>
          <w:sz w:val="30"/>
          <w:szCs w:val="30"/>
        </w:rPr>
        <w:t>加快发展特色食品工业</w:t>
      </w:r>
      <w:r>
        <w:rPr>
          <w:rFonts w:ascii="Times New Roman" w:hAnsi="Times New Roman" w:eastAsia="仿宋_GB2312" w:cs="Times New Roman"/>
          <w:b/>
          <w:sz w:val="30"/>
          <w:szCs w:val="30"/>
        </w:rPr>
        <w:t>。</w:t>
      </w:r>
      <w:r>
        <w:rPr>
          <w:rFonts w:hint="eastAsia" w:ascii="Times New Roman" w:hAnsi="Times New Roman" w:eastAsia="仿宋_GB2312" w:cs="Times New Roman"/>
          <w:sz w:val="30"/>
          <w:szCs w:val="30"/>
        </w:rPr>
        <w:t>大力发展粮油加工，推动对洛隆县洛宗特色产品开发公司等现有粮油加工企业和专业合作社技术改造，加强粮油贮藏、烘干等设施建设，突出做强青稞、面制食品和食用油，发展具有保健、养生功能的青稞系列食品加工，提高蒸煮、焙烤、速冻等面制食品比重，提高菜籽油加工工艺技术水平，实现粮油产品多层次多环节转化增值。加快发展畜产品加工，建设一个自动化猪肉羊集中屠宰场，配套相应屠宰、分割、冷冻冷藏设施和设备，生产分割肉、冷鲜肉、冷冻肉，满足区内市场需求。引进和扶持一批肉类深加工龙头企业，开发具有区域特色的方便类、休闲类、清真类肉制食品。培育发展果蔬和林下产品加工，重点建设果蔬的保鲜冷藏、清洗分级、整理包装等设施，发展净菜、泡菜和辣酱加工。支持采用真空干燥、冷冻干燥等先进技术，发展野生菌切片加工。培育水果、核桃等深加工，开发生产饮料、核桃露、核桃休闲食品等系列新产品。</w:t>
      </w:r>
    </w:p>
    <w:p w14:paraId="07A79861">
      <w:pPr>
        <w:adjustRightInd w:val="0"/>
        <w:snapToGrid w:val="0"/>
        <w:spacing w:line="500" w:lineRule="exact"/>
        <w:ind w:firstLine="602" w:firstLineChars="200"/>
        <w:rPr>
          <w:rFonts w:ascii="Times New Roman" w:hAnsi="Times New Roman" w:eastAsia="仿宋_GB2312" w:cs="Times New Roman"/>
          <w:bCs/>
          <w:sz w:val="30"/>
          <w:szCs w:val="30"/>
        </w:rPr>
      </w:pPr>
      <w:r>
        <w:rPr>
          <w:rFonts w:hint="eastAsia" w:ascii="Times New Roman" w:hAnsi="Times New Roman" w:eastAsia="仿宋_GB2312" w:cs="Times New Roman"/>
          <w:b/>
          <w:sz w:val="30"/>
          <w:szCs w:val="30"/>
        </w:rPr>
        <w:t>大力开发利用清洁能源</w:t>
      </w:r>
      <w:r>
        <w:rPr>
          <w:rFonts w:ascii="Times New Roman" w:hAnsi="Times New Roman" w:eastAsia="仿宋_GB2312" w:cs="Times New Roman"/>
          <w:b/>
          <w:sz w:val="30"/>
          <w:szCs w:val="30"/>
        </w:rPr>
        <w:t>。</w:t>
      </w:r>
      <w:r>
        <w:rPr>
          <w:rFonts w:hint="eastAsia" w:ascii="Times New Roman" w:hAnsi="Times New Roman" w:eastAsia="仿宋_GB2312" w:cs="Times New Roman"/>
          <w:sz w:val="30"/>
          <w:szCs w:val="30"/>
        </w:rPr>
        <w:t>积极推进怒江流域水能资源开发，强化水电能源开发的主体地位，以新荣电站大型水电项目为抓手，建设“西电东送”接续能源基地；积极协助水电开发企业对德曲河流域水电开发进程，促进大型水电站工程建设。大力推广孜托镇久玛村光伏开发利用模式，结合设施农业和美丽乡村建设，积极推进光伏温室、光伏示范村镇建设，以农光互补光伏发电项目为重点，利用光伏项目发展高效特色农业，创建自治区光伏示范县。加快对旺西、布谷、学安、古竹等温泉地热资源的勘查和开发应用，重点应用于城镇地热供暖项目和温泉旅游项目，同时争取利用地热资源在生态农业、养殖、医疗治病等领域的应用上取得进展。</w:t>
      </w:r>
    </w:p>
    <w:p w14:paraId="438D7D2E">
      <w:pPr>
        <w:adjustRightInd w:val="0"/>
        <w:snapToGrid w:val="0"/>
        <w:spacing w:line="500" w:lineRule="exact"/>
        <w:ind w:firstLine="602" w:firstLineChars="200"/>
        <w:rPr>
          <w:rFonts w:ascii="Times New Roman" w:hAnsi="Times New Roman" w:eastAsia="仿宋_GB2312" w:cs="Times New Roman"/>
          <w:sz w:val="30"/>
          <w:szCs w:val="30"/>
        </w:rPr>
      </w:pPr>
      <w:r>
        <w:rPr>
          <w:rFonts w:hint="eastAsia" w:ascii="Times New Roman" w:hAnsi="Times New Roman" w:eastAsia="仿宋_GB2312" w:cs="Times New Roman"/>
          <w:b/>
          <w:sz w:val="30"/>
          <w:szCs w:val="30"/>
        </w:rPr>
        <w:t>提质增效传统民族产业</w:t>
      </w:r>
      <w:r>
        <w:rPr>
          <w:rFonts w:ascii="Times New Roman" w:hAnsi="Times New Roman" w:eastAsia="仿宋_GB2312" w:cs="Times New Roman"/>
          <w:b/>
          <w:sz w:val="30"/>
          <w:szCs w:val="30"/>
        </w:rPr>
        <w:t>。</w:t>
      </w:r>
      <w:r>
        <w:rPr>
          <w:rFonts w:hint="eastAsia" w:ascii="Times New Roman" w:hAnsi="Times New Roman" w:eastAsia="仿宋_GB2312" w:cs="Times New Roman"/>
          <w:sz w:val="30"/>
          <w:szCs w:val="30"/>
        </w:rPr>
        <w:t>加强传统手工技艺保护和开发，加大对加日扎村南谷民族手工艺公司、彩虹民族文化工贸公司、博织利民服饰缝纫公司、硕督泡菜厂等本土企业的扶持力度，做大做强藏刀、藏式绘画、唐卡、陶瓷、服饰、饰品、泡菜等传统手工业，重点支持企业实施技术改造，改善工艺技术，提高产品质量、品种和生产效率，并通过多渠道合作、培养本土能手等方式进一步提高技术水平和管理水平，打造民族产业。</w:t>
      </w:r>
    </w:p>
    <w:p w14:paraId="2608338A">
      <w:pPr>
        <w:adjustRightInd w:val="0"/>
        <w:snapToGrid w:val="0"/>
        <w:spacing w:line="500" w:lineRule="exact"/>
        <w:ind w:firstLine="602" w:firstLineChars="200"/>
        <w:rPr>
          <w:rFonts w:ascii="Times New Roman" w:hAnsi="Times New Roman" w:eastAsia="仿宋_GB2312" w:cs="Times New Roman"/>
          <w:sz w:val="30"/>
          <w:szCs w:val="30"/>
        </w:rPr>
      </w:pPr>
      <w:r>
        <w:rPr>
          <w:rFonts w:hint="eastAsia" w:ascii="Times New Roman" w:hAnsi="Times New Roman" w:eastAsia="仿宋_GB2312" w:cs="Times New Roman"/>
          <w:b/>
          <w:sz w:val="30"/>
          <w:szCs w:val="30"/>
        </w:rPr>
        <w:t>积极推进品牌体系建设</w:t>
      </w:r>
      <w:r>
        <w:rPr>
          <w:rFonts w:ascii="Times New Roman" w:hAnsi="Times New Roman" w:eastAsia="仿宋_GB2312" w:cs="Times New Roman"/>
          <w:b/>
          <w:sz w:val="30"/>
          <w:szCs w:val="30"/>
        </w:rPr>
        <w:t>。</w:t>
      </w:r>
      <w:r>
        <w:rPr>
          <w:rFonts w:hint="eastAsia" w:ascii="Times New Roman" w:hAnsi="Times New Roman" w:eastAsia="仿宋_GB2312" w:cs="Times New Roman"/>
          <w:sz w:val="30"/>
          <w:szCs w:val="30"/>
        </w:rPr>
        <w:t>实施农业品牌提升行动，打造一批有影响力的区域公用品牌、知名企业品牌和名特优农产品品牌。加大农产品“三品一标”认证支持力度，突出发展地理标志产品，挖掘特色产品资源，打造“洛隆生态健康畜牧业”名片，提升“洛宗”糌粑食品、“卡若香猪”、“红拉山香鸡”及洛隆藏刀、唐卡等区域品牌知名度。到2025年，培育地理标志认证产品5个，创建著名商标2个。</w:t>
      </w:r>
    </w:p>
    <w:p w14:paraId="23AE0934">
      <w:pPr>
        <w:spacing w:line="580" w:lineRule="exact"/>
        <w:ind w:firstLine="602" w:firstLineChars="200"/>
        <w:outlineLvl w:val="2"/>
        <w:rPr>
          <w:rFonts w:ascii="Times New Roman" w:hAnsi="Times New Roman" w:eastAsia="楷体_GB2312" w:cs="Times New Roman"/>
          <w:b/>
          <w:bCs/>
          <w:sz w:val="30"/>
          <w:szCs w:val="30"/>
        </w:rPr>
      </w:pPr>
      <w:r>
        <w:rPr>
          <w:rFonts w:ascii="Times New Roman" w:hAnsi="Times New Roman" w:eastAsia="楷体_GB2312" w:cs="Times New Roman"/>
          <w:b/>
          <w:bCs/>
          <w:sz w:val="30"/>
          <w:szCs w:val="30"/>
        </w:rPr>
        <w:t>（</w:t>
      </w:r>
      <w:r>
        <w:rPr>
          <w:rFonts w:hint="eastAsia" w:ascii="Times New Roman" w:hAnsi="Times New Roman" w:eastAsia="楷体_GB2312" w:cs="Times New Roman"/>
          <w:b/>
          <w:bCs/>
          <w:sz w:val="30"/>
          <w:szCs w:val="30"/>
        </w:rPr>
        <w:t>三</w:t>
      </w:r>
      <w:r>
        <w:rPr>
          <w:rFonts w:ascii="Times New Roman" w:hAnsi="Times New Roman" w:eastAsia="楷体_GB2312" w:cs="Times New Roman"/>
          <w:b/>
          <w:bCs/>
          <w:sz w:val="30"/>
          <w:szCs w:val="30"/>
        </w:rPr>
        <w:t>）</w:t>
      </w:r>
      <w:r>
        <w:rPr>
          <w:rFonts w:hint="eastAsia" w:ascii="Times New Roman" w:hAnsi="Times New Roman" w:eastAsia="楷体_GB2312" w:cs="Times New Roman"/>
          <w:b/>
          <w:bCs/>
          <w:sz w:val="30"/>
          <w:szCs w:val="30"/>
        </w:rPr>
        <w:t>把握良机做大全域旅游</w:t>
      </w:r>
    </w:p>
    <w:p w14:paraId="66A3E216">
      <w:pPr>
        <w:adjustRightInd w:val="0"/>
        <w:snapToGrid w:val="0"/>
        <w:spacing w:line="500" w:lineRule="exact"/>
        <w:ind w:firstLine="602" w:firstLineChars="200"/>
        <w:rPr>
          <w:rFonts w:ascii="Times New Roman" w:hAnsi="Times New Roman" w:eastAsia="仿宋_GB2312" w:cs="Times New Roman"/>
          <w:sz w:val="30"/>
          <w:szCs w:val="30"/>
        </w:rPr>
      </w:pPr>
      <w:r>
        <w:rPr>
          <w:rFonts w:hint="eastAsia" w:ascii="Times New Roman" w:hAnsi="Times New Roman" w:eastAsia="仿宋_GB2312" w:cs="Times New Roman"/>
          <w:b/>
          <w:sz w:val="30"/>
          <w:szCs w:val="30"/>
        </w:rPr>
        <w:t>构建全域旅游发展格局</w:t>
      </w:r>
      <w:r>
        <w:rPr>
          <w:rFonts w:ascii="Times New Roman" w:hAnsi="Times New Roman" w:eastAsia="仿宋_GB2312" w:cs="Times New Roman"/>
          <w:b/>
          <w:sz w:val="30"/>
          <w:szCs w:val="30"/>
        </w:rPr>
        <w:t>。</w:t>
      </w:r>
      <w:r>
        <w:rPr>
          <w:rFonts w:hint="eastAsia" w:ascii="Times New Roman" w:hAnsi="Times New Roman" w:eastAsia="仿宋_GB2312" w:cs="Times New Roman"/>
          <w:sz w:val="30"/>
          <w:szCs w:val="30"/>
        </w:rPr>
        <w:t>总体上形成“两轴三核三区”的空间布局结构，实现旅游线路全域统筹、旅游产品全域优化、旅游品牌全域整合、旅游市场全域营销，把洛隆县打造成昌都市旅游接待一级节点、西藏自治区知名生态旅游胜地、茶马古道原生态文化体验旅游目的地。</w:t>
      </w:r>
    </w:p>
    <w:p w14:paraId="382549CC">
      <w:pPr>
        <w:adjustRightInd w:val="0"/>
        <w:snapToGrid w:val="0"/>
        <w:spacing w:line="500" w:lineRule="exact"/>
        <w:ind w:firstLine="602" w:firstLineChars="200"/>
        <w:rPr>
          <w:rFonts w:ascii="Times New Roman" w:hAnsi="Times New Roman" w:eastAsia="仿宋_GB2312" w:cs="Times New Roman"/>
          <w:sz w:val="30"/>
          <w:szCs w:val="30"/>
        </w:rPr>
      </w:pPr>
      <w:r>
        <w:rPr>
          <w:rFonts w:hint="eastAsia" w:ascii="Times New Roman" w:hAnsi="Times New Roman" w:eastAsia="仿宋_GB2312" w:cs="Times New Roman"/>
          <w:b/>
          <w:sz w:val="30"/>
          <w:szCs w:val="30"/>
        </w:rPr>
        <w:t>打造洛隆县旅游集散中心。</w:t>
      </w:r>
      <w:r>
        <w:rPr>
          <w:rFonts w:hint="eastAsia" w:ascii="Times New Roman" w:hAnsi="Times New Roman" w:eastAsia="仿宋_GB2312" w:cs="Times New Roman"/>
          <w:sz w:val="30"/>
          <w:szCs w:val="30"/>
        </w:rPr>
        <w:t>完善国道349沿线旅游服务设施，推进孜托镇游客服综合务中心、卓玛朗措湖景区、孜托寺等景点旅游设施建设。力争到2025年，把洛隆县建设成为昌都市旅游接待一级节点，把卓玛朗措打造成为国家4A级旅游景区。</w:t>
      </w:r>
    </w:p>
    <w:p w14:paraId="098CEEDB">
      <w:pPr>
        <w:adjustRightInd w:val="0"/>
        <w:snapToGrid w:val="0"/>
        <w:spacing w:line="500" w:lineRule="exact"/>
        <w:ind w:firstLine="602" w:firstLineChars="200"/>
        <w:rPr>
          <w:rFonts w:ascii="Times New Roman" w:hAnsi="Times New Roman" w:eastAsia="仿宋_GB2312" w:cs="Times New Roman"/>
          <w:sz w:val="30"/>
          <w:szCs w:val="30"/>
        </w:rPr>
      </w:pPr>
      <w:r>
        <w:rPr>
          <w:rFonts w:hint="eastAsia" w:ascii="Times New Roman" w:hAnsi="Times New Roman" w:eastAsia="仿宋_GB2312" w:cs="Times New Roman"/>
          <w:b/>
          <w:sz w:val="30"/>
          <w:szCs w:val="30"/>
        </w:rPr>
        <w:t>加强硕督历史文化名镇建设。</w:t>
      </w:r>
      <w:r>
        <w:rPr>
          <w:rFonts w:hint="eastAsia" w:ascii="Times New Roman" w:hAnsi="Times New Roman" w:eastAsia="仿宋_GB2312" w:cs="Times New Roman"/>
          <w:sz w:val="30"/>
          <w:szCs w:val="30"/>
        </w:rPr>
        <w:t>推进硕督镇旅游基础设施建设，打造硕督镇硕督村民族团结示范村。到2025年，把硕督镇打造成为集茶马古道驿站遗址、清军入藏驻军遗址、硕督寺宗教遗址、硕般多宗遗址和解放军十八军驻军遗址等历史文化遗产于一体，充分体现红色文化、民族融合文化和地方民俗风情的历史文化名镇。</w:t>
      </w:r>
    </w:p>
    <w:p w14:paraId="7EB3EF91">
      <w:pPr>
        <w:adjustRightInd w:val="0"/>
        <w:snapToGrid w:val="0"/>
        <w:spacing w:line="500" w:lineRule="exact"/>
        <w:ind w:firstLine="602" w:firstLineChars="200"/>
        <w:rPr>
          <w:rFonts w:ascii="Times New Roman" w:hAnsi="Times New Roman" w:eastAsia="仿宋_GB2312" w:cs="Times New Roman"/>
          <w:sz w:val="30"/>
          <w:szCs w:val="30"/>
        </w:rPr>
      </w:pPr>
      <w:r>
        <w:rPr>
          <w:rFonts w:hint="eastAsia" w:ascii="Times New Roman" w:hAnsi="Times New Roman" w:eastAsia="仿宋_GB2312" w:cs="Times New Roman"/>
          <w:b/>
          <w:sz w:val="30"/>
          <w:szCs w:val="30"/>
        </w:rPr>
        <w:t>持续推进八美国家公园景区建设。</w:t>
      </w:r>
      <w:r>
        <w:rPr>
          <w:rFonts w:hint="eastAsia" w:ascii="Times New Roman" w:hAnsi="Times New Roman" w:eastAsia="仿宋_GB2312" w:cs="Times New Roman"/>
          <w:sz w:val="30"/>
          <w:szCs w:val="30"/>
        </w:rPr>
        <w:t>依托巴洞措湖、巴堆神山、巴堆自然风景区、苯教寺院朗拉寺等自然景观和人文景观，重点实施巴堆景区建设，结合自驾游、骑行游、探险游、体验游、摄影游等新兴消费特点，建设一批休闲观光区、乡村民宿、旅游景点。</w:t>
      </w:r>
    </w:p>
    <w:p w14:paraId="57FA8DBA">
      <w:pPr>
        <w:adjustRightInd w:val="0"/>
        <w:snapToGrid w:val="0"/>
        <w:spacing w:line="500" w:lineRule="exact"/>
        <w:ind w:firstLine="602" w:firstLineChars="200"/>
        <w:rPr>
          <w:rFonts w:ascii="Times New Roman" w:hAnsi="Times New Roman" w:eastAsia="仿宋_GB2312" w:cs="Times New Roman"/>
          <w:sz w:val="30"/>
          <w:szCs w:val="30"/>
        </w:rPr>
      </w:pPr>
      <w:r>
        <w:rPr>
          <w:rFonts w:hint="eastAsia" w:ascii="Times New Roman" w:hAnsi="Times New Roman" w:eastAsia="仿宋_GB2312" w:cs="Times New Roman"/>
          <w:b/>
          <w:sz w:val="30"/>
          <w:szCs w:val="30"/>
        </w:rPr>
        <w:t>推进一批景点维修改造。</w:t>
      </w:r>
      <w:r>
        <w:rPr>
          <w:rFonts w:hint="eastAsia" w:ascii="Times New Roman" w:hAnsi="Times New Roman" w:eastAsia="仿宋_GB2312" w:cs="Times New Roman"/>
          <w:sz w:val="30"/>
          <w:szCs w:val="30"/>
        </w:rPr>
        <w:t>对卡萨宗粮仓遗址、硕督宗遗址、甲义扎嘎摩崖石刻景点、龙王庙进行维修保护，对义章寺、硕督寺、孜托寺等一批寺庙进行维修改造，配套建设旅游基础设施。以卓玛朗措湖景区设施建设项目及川藏铁路修建为契机，加强对已建设完成的旅游基础设施的利用、运营、监督，进一步提高旅游服务质量，发挥项目文化旅游传播作用，争取把大卓玛朗措景区旅游环线打造为洛隆对外的旅游“窗口”，在增加群众收入、增进民族团结、增强文化自信的同时，让“洛隆”从这个“窗口”走出去。</w:t>
      </w:r>
    </w:p>
    <w:p w14:paraId="421C02BE">
      <w:pPr>
        <w:adjustRightInd w:val="0"/>
        <w:snapToGrid w:val="0"/>
        <w:spacing w:line="500" w:lineRule="exact"/>
        <w:ind w:firstLine="602" w:firstLineChars="200"/>
        <w:rPr>
          <w:rFonts w:ascii="Times New Roman" w:hAnsi="Times New Roman" w:eastAsia="仿宋_GB2312" w:cs="Times New Roman"/>
          <w:sz w:val="30"/>
          <w:szCs w:val="30"/>
        </w:rPr>
      </w:pPr>
      <w:r>
        <w:rPr>
          <w:rFonts w:hint="eastAsia" w:ascii="Times New Roman" w:hAnsi="Times New Roman" w:eastAsia="仿宋_GB2312" w:cs="Times New Roman"/>
          <w:b/>
          <w:sz w:val="30"/>
          <w:szCs w:val="30"/>
        </w:rPr>
        <w:t>大力推进乡村旅游基地建设。</w:t>
      </w:r>
      <w:r>
        <w:rPr>
          <w:rFonts w:hint="eastAsia" w:ascii="Times New Roman" w:hAnsi="Times New Roman" w:eastAsia="仿宋_GB2312" w:cs="Times New Roman"/>
          <w:sz w:val="30"/>
          <w:szCs w:val="30"/>
        </w:rPr>
        <w:t>推进田园综合体建设，在俄西生态园景区和孜托镇夏果村完善旅游服务设施，建设游客服务中心、停车场、厕所等；在夏果村建设休闲农业观光园，完善园区内围栏、道路硬化、护栏、水利等配套设施及相关设备；打造俄西生态田园综合体、夏果村生态田园综合体。实施特色文化休闲农庄建设，在巴堆村、八美村、江云村等村扶持村民建设一批民宿民居和文化娱乐设施，打造以当地民俗文化、特色文化为主题的休闲农庄。实施农（藏）家乐建设工程，在新荣乡、康沙镇、硕督镇、玉西乡、中亦乡、达龙乡建设一批农（藏）家乐设施，购置安装相应设备；在孜托居委会实施农家乐整村推进项目，新建夏令营营地、儿童游乐、洗车场等设施。</w:t>
      </w:r>
    </w:p>
    <w:p w14:paraId="47A21BA0">
      <w:pPr>
        <w:adjustRightInd w:val="0"/>
        <w:snapToGrid w:val="0"/>
        <w:spacing w:line="500" w:lineRule="exact"/>
        <w:ind w:firstLine="602" w:firstLineChars="200"/>
        <w:rPr>
          <w:rFonts w:ascii="Times New Roman" w:hAnsi="Times New Roman" w:eastAsia="仿宋_GB2312" w:cs="Times New Roman"/>
          <w:sz w:val="30"/>
          <w:szCs w:val="30"/>
        </w:rPr>
      </w:pPr>
      <w:r>
        <w:rPr>
          <w:rFonts w:hint="eastAsia" w:ascii="Times New Roman" w:hAnsi="Times New Roman" w:eastAsia="仿宋_GB2312" w:cs="Times New Roman"/>
          <w:b/>
          <w:sz w:val="30"/>
          <w:szCs w:val="30"/>
        </w:rPr>
        <w:t>加快推进旅游融合发展。</w:t>
      </w:r>
      <w:r>
        <w:rPr>
          <w:rFonts w:hint="eastAsia" w:ascii="Times New Roman" w:hAnsi="Times New Roman" w:eastAsia="仿宋_GB2312" w:cs="Times New Roman"/>
          <w:sz w:val="30"/>
          <w:szCs w:val="30"/>
        </w:rPr>
        <w:t>发挥旅游产业关联度高、带动性强的特点，深入推进旅游业与经济社会融合发展，增强全民获益感，提高全社会对旅游发展的支持力度和参与热情。发挥乡村生态优势，积极发展观光农业、生态林业，培育一批乡村旅游示范景区，推进旅游与乡村振兴融合发展。推进民间工艺品、土特食品、地方药材、果蔬饮品等特色旅游产品实现工业化生产；大力发展工业科普观光游和体验式旅游；依托水电开发，大力发展库区旅游，推进旅游与新型工业融合发展。加大旅游产品研发力度，在保留传统工艺的基础上，推进旅游与文化服务业融合发展。加快旅游信息化服务体系建设，大力发展智慧旅游，推进旅游与信息化融合发展。</w:t>
      </w:r>
    </w:p>
    <w:p w14:paraId="310A927B">
      <w:pPr>
        <w:spacing w:line="580" w:lineRule="exact"/>
        <w:ind w:firstLine="602" w:firstLineChars="200"/>
        <w:outlineLvl w:val="2"/>
        <w:rPr>
          <w:rFonts w:ascii="Times New Roman" w:hAnsi="Times New Roman" w:eastAsia="楷体_GB2312" w:cs="Times New Roman"/>
          <w:b/>
          <w:bCs/>
          <w:sz w:val="30"/>
          <w:szCs w:val="30"/>
        </w:rPr>
      </w:pPr>
      <w:r>
        <w:rPr>
          <w:rFonts w:ascii="Times New Roman" w:hAnsi="Times New Roman" w:eastAsia="楷体_GB2312" w:cs="Times New Roman"/>
          <w:b/>
          <w:bCs/>
          <w:sz w:val="30"/>
          <w:szCs w:val="30"/>
        </w:rPr>
        <w:t>（</w:t>
      </w:r>
      <w:r>
        <w:rPr>
          <w:rFonts w:hint="eastAsia" w:ascii="Times New Roman" w:hAnsi="Times New Roman" w:eastAsia="楷体_GB2312" w:cs="Times New Roman"/>
          <w:b/>
          <w:bCs/>
          <w:sz w:val="30"/>
          <w:szCs w:val="30"/>
        </w:rPr>
        <w:t>四</w:t>
      </w:r>
      <w:r>
        <w:rPr>
          <w:rFonts w:ascii="Times New Roman" w:hAnsi="Times New Roman" w:eastAsia="楷体_GB2312" w:cs="Times New Roman"/>
          <w:b/>
          <w:bCs/>
          <w:sz w:val="30"/>
          <w:szCs w:val="30"/>
        </w:rPr>
        <w:t>）</w:t>
      </w:r>
      <w:r>
        <w:rPr>
          <w:rFonts w:hint="eastAsia" w:ascii="Times New Roman" w:hAnsi="Times New Roman" w:eastAsia="楷体_GB2312" w:cs="Times New Roman"/>
          <w:b/>
          <w:bCs/>
          <w:sz w:val="30"/>
          <w:szCs w:val="30"/>
        </w:rPr>
        <w:t>重消费提升服务业</w:t>
      </w:r>
    </w:p>
    <w:p w14:paraId="7DA24BDA">
      <w:pPr>
        <w:adjustRightInd w:val="0"/>
        <w:snapToGrid w:val="0"/>
        <w:spacing w:line="500" w:lineRule="exact"/>
        <w:ind w:firstLine="602" w:firstLineChars="200"/>
        <w:rPr>
          <w:rFonts w:ascii="Times New Roman" w:hAnsi="Times New Roman" w:eastAsia="仿宋_GB2312" w:cs="Times New Roman"/>
          <w:sz w:val="30"/>
          <w:szCs w:val="30"/>
        </w:rPr>
      </w:pPr>
      <w:r>
        <w:rPr>
          <w:rFonts w:hint="eastAsia" w:ascii="Times New Roman" w:hAnsi="Times New Roman" w:eastAsia="仿宋_GB2312" w:cs="Times New Roman"/>
          <w:b/>
          <w:sz w:val="30"/>
          <w:szCs w:val="30"/>
        </w:rPr>
        <w:t>突出发展生产性服务业</w:t>
      </w:r>
      <w:r>
        <w:rPr>
          <w:rFonts w:ascii="Times New Roman" w:hAnsi="Times New Roman" w:eastAsia="仿宋_GB2312" w:cs="Times New Roman"/>
          <w:b/>
          <w:sz w:val="30"/>
          <w:szCs w:val="30"/>
        </w:rPr>
        <w:t>。</w:t>
      </w:r>
      <w:r>
        <w:rPr>
          <w:rFonts w:hint="eastAsia" w:ascii="Times New Roman" w:hAnsi="Times New Roman" w:eastAsia="仿宋_GB2312" w:cs="Times New Roman"/>
          <w:sz w:val="30"/>
          <w:szCs w:val="30"/>
        </w:rPr>
        <w:t>大力发展各类金融服务主体，推动金融服务创新，积极协调金融机构开展小微企业循环贷、富农贷、强农贷等多种形式的信贷项目，鼓励金融机构探索以土地经营权、林权抵押和生产资料、宅基地抵押方式发放信贷资金，支持农村经济发展。完善孜托镇物流中心功能，推动国道349货运枢纽、川藏铁路货运枢纽物流园区建设，加强配送中心、冷链物流中心和农村双向流通综合物流平台建设，大力培育第三方物流、连锁配送企业。完善洛隆县电子商务平台经营系统功能，稳步推进线下实体店建设。大力推进电子商务进农村，培育一批特色电商乡镇、电商村、电商产业园，创建自治区电子商务示范县。依托产业园区、加工园区、现代物流园区，集聚发展物流、信息、研发、金融、人力资源和检验检测等相关服务业，逐步形成集产品研发、设计、展示、包装、检验、广告宣传等各种生产性服务功能于一体的服务平台。</w:t>
      </w:r>
    </w:p>
    <w:p w14:paraId="5644DBDC">
      <w:pPr>
        <w:adjustRightInd w:val="0"/>
        <w:snapToGrid w:val="0"/>
        <w:spacing w:line="500" w:lineRule="exact"/>
        <w:ind w:firstLine="602" w:firstLineChars="200"/>
        <w:rPr>
          <w:rFonts w:ascii="Times New Roman" w:hAnsi="Times New Roman" w:eastAsia="仿宋_GB2312" w:cs="Times New Roman"/>
          <w:sz w:val="30"/>
          <w:szCs w:val="30"/>
        </w:rPr>
      </w:pPr>
      <w:r>
        <w:rPr>
          <w:rFonts w:hint="eastAsia" w:ascii="Times New Roman" w:hAnsi="Times New Roman" w:eastAsia="仿宋_GB2312" w:cs="Times New Roman"/>
          <w:b/>
          <w:sz w:val="30"/>
          <w:szCs w:val="30"/>
        </w:rPr>
        <w:t>积极发展生活性服务业</w:t>
      </w:r>
      <w:r>
        <w:rPr>
          <w:rFonts w:ascii="Times New Roman" w:hAnsi="Times New Roman" w:eastAsia="仿宋_GB2312" w:cs="Times New Roman"/>
          <w:b/>
          <w:sz w:val="30"/>
          <w:szCs w:val="30"/>
        </w:rPr>
        <w:t>。</w:t>
      </w:r>
      <w:r>
        <w:rPr>
          <w:rFonts w:hint="eastAsia" w:ascii="Times New Roman" w:hAnsi="Times New Roman" w:eastAsia="仿宋_GB2312" w:cs="Times New Roman"/>
          <w:sz w:val="30"/>
          <w:szCs w:val="30"/>
        </w:rPr>
        <w:t>完善“城市中心商业圈——社区商业网点——乡镇商业中心——村社便利店”商贸网络，统筹邮政快递、商贸、供销等要素资源，建成一批资源共享、功能集约的县乡（镇）村三级物流节点，重点解决物流入村“最后一公里”问题。加快孜托镇大型农贸批发市场建设，推进乡镇综合农贸市场和生资市场建设。大力发展农批对接、农超对接、农企对接、农校对接等多种产销衔接，构建上联生产基地、下接零售终端的农畜产品产销一体化流通链条。大力发展家庭保洁、卫生保健、养老扶助、病人看护、家务管理、婴幼儿看护等家庭服务业，因地制宜发展家庭用品配送、家庭教育等新业态。推进“医养结合”，构建集医疗服务、健康管理与健康促进、健康保险等为一体的服务体系。依托互联网资源和社会力量，以村社为基础，搭建养老信息服务网络平台，提供护理看护、健康管理、康复照料等居家养老服务。</w:t>
      </w:r>
    </w:p>
    <w:p w14:paraId="2AB375E4">
      <w:pPr>
        <w:spacing w:line="580" w:lineRule="exact"/>
        <w:jc w:val="center"/>
        <w:outlineLvl w:val="1"/>
        <w:rPr>
          <w:rFonts w:ascii="Times New Roman" w:hAnsi="Times New Roman" w:eastAsia="黑体" w:cs="Times New Roman"/>
          <w:bCs/>
          <w:sz w:val="32"/>
          <w:szCs w:val="32"/>
        </w:rPr>
      </w:pPr>
      <w:bookmarkStart w:id="111" w:name="_Toc12799"/>
      <w:r>
        <w:rPr>
          <w:rFonts w:ascii="Times New Roman" w:hAnsi="Times New Roman" w:eastAsia="黑体" w:cs="Times New Roman"/>
          <w:bCs/>
          <w:sz w:val="32"/>
          <w:szCs w:val="32"/>
        </w:rPr>
        <w:t>第二节  强化资源能源节约</w:t>
      </w:r>
      <w:bookmarkEnd w:id="110"/>
      <w:bookmarkEnd w:id="111"/>
    </w:p>
    <w:p w14:paraId="41BE860B">
      <w:pPr>
        <w:spacing w:line="580" w:lineRule="exact"/>
        <w:ind w:firstLine="602" w:firstLineChars="200"/>
        <w:outlineLvl w:val="2"/>
        <w:rPr>
          <w:rFonts w:ascii="Times New Roman" w:hAnsi="Times New Roman" w:eastAsia="楷体_GB2312" w:cs="Times New Roman"/>
          <w:b/>
          <w:bCs/>
          <w:sz w:val="30"/>
          <w:szCs w:val="30"/>
        </w:rPr>
      </w:pPr>
      <w:bookmarkStart w:id="112" w:name="_Toc515435812"/>
      <w:bookmarkEnd w:id="112"/>
      <w:bookmarkStart w:id="113" w:name="_Toc528335042"/>
      <w:bookmarkStart w:id="114" w:name="_Toc524445015"/>
      <w:bookmarkStart w:id="115" w:name="_Toc522718992"/>
      <w:r>
        <w:rPr>
          <w:rFonts w:ascii="Times New Roman" w:hAnsi="Times New Roman" w:eastAsia="楷体_GB2312" w:cs="Times New Roman"/>
          <w:b/>
          <w:bCs/>
          <w:sz w:val="30"/>
          <w:szCs w:val="30"/>
        </w:rPr>
        <w:t>（一）加强能源节约高效利用</w:t>
      </w:r>
      <w:bookmarkEnd w:id="113"/>
      <w:bookmarkEnd w:id="114"/>
      <w:bookmarkEnd w:id="115"/>
    </w:p>
    <w:p w14:paraId="45292225">
      <w:pPr>
        <w:adjustRightInd w:val="0"/>
        <w:snapToGrid w:val="0"/>
        <w:spacing w:line="500" w:lineRule="exact"/>
        <w:ind w:firstLine="602" w:firstLineChars="200"/>
        <w:rPr>
          <w:rFonts w:ascii="Times New Roman" w:hAnsi="Times New Roman" w:eastAsia="仿宋_GB2312" w:cs="Times New Roman"/>
          <w:sz w:val="30"/>
          <w:szCs w:val="30"/>
        </w:rPr>
      </w:pPr>
      <w:r>
        <w:rPr>
          <w:rFonts w:ascii="Times New Roman" w:hAnsi="Times New Roman" w:eastAsia="仿宋_GB2312" w:cs="Times New Roman"/>
          <w:b/>
          <w:sz w:val="30"/>
          <w:szCs w:val="30"/>
        </w:rPr>
        <w:t>加强工业节能。</w:t>
      </w:r>
      <w:r>
        <w:rPr>
          <w:rFonts w:ascii="Times New Roman" w:hAnsi="Times New Roman" w:eastAsia="仿宋_GB2312" w:cs="Times New Roman"/>
          <w:sz w:val="30"/>
          <w:szCs w:val="30"/>
        </w:rPr>
        <w:t>认真贯彻自治区、市淘汰落后产能相关要求，着力将淘汰落后产能作为全县节能减排的重要手段。严格落实技术改造项目节能审查，严控国家限制的高耗能产业新增扩能项目。组织推荐企业创建“绿色工厂“绿色设计产品”绿色园区“绿色供应链”等，鼓励企业实施绿色制造系统集成项目，落实单位工业增加值能耗下降目标。</w:t>
      </w:r>
    </w:p>
    <w:p w14:paraId="560FD096">
      <w:pPr>
        <w:adjustRightInd w:val="0"/>
        <w:snapToGrid w:val="0"/>
        <w:spacing w:line="500" w:lineRule="exact"/>
        <w:ind w:firstLine="602" w:firstLineChars="200"/>
        <w:rPr>
          <w:rFonts w:ascii="Times New Roman" w:hAnsi="Times New Roman" w:eastAsia="仿宋_GB2312" w:cs="Times New Roman"/>
          <w:sz w:val="30"/>
          <w:szCs w:val="30"/>
        </w:rPr>
      </w:pPr>
      <w:r>
        <w:rPr>
          <w:rFonts w:ascii="Times New Roman" w:hAnsi="Times New Roman" w:eastAsia="仿宋_GB2312" w:cs="Times New Roman"/>
          <w:b/>
          <w:sz w:val="30"/>
          <w:szCs w:val="30"/>
        </w:rPr>
        <w:t>加强建筑节能。</w:t>
      </w:r>
      <w:r>
        <w:rPr>
          <w:rFonts w:ascii="Times New Roman" w:hAnsi="Times New Roman" w:eastAsia="仿宋_GB2312" w:cs="Times New Roman"/>
          <w:sz w:val="30"/>
          <w:szCs w:val="30"/>
        </w:rPr>
        <w:t>开展绿色建筑技术的集成示范和推广，加强既有建筑标准，推进利用太阳能、空气热能、工业余热等解决建筑用能，推广建筑节能、节水、节地、节材和保护环境的适宜技术，提升绿色施工水平，做好建筑施工节能。</w:t>
      </w:r>
    </w:p>
    <w:p w14:paraId="37C200F4">
      <w:pPr>
        <w:adjustRightInd w:val="0"/>
        <w:snapToGrid w:val="0"/>
        <w:spacing w:line="500" w:lineRule="exact"/>
        <w:ind w:firstLine="602" w:firstLineChars="200"/>
        <w:rPr>
          <w:rFonts w:ascii="Times New Roman" w:hAnsi="Times New Roman" w:eastAsia="仿宋_GB2312" w:cs="Times New Roman"/>
          <w:sz w:val="30"/>
          <w:szCs w:val="30"/>
        </w:rPr>
      </w:pPr>
      <w:r>
        <w:rPr>
          <w:rFonts w:ascii="Times New Roman" w:hAnsi="Times New Roman" w:eastAsia="仿宋_GB2312" w:cs="Times New Roman"/>
          <w:b/>
          <w:sz w:val="30"/>
          <w:szCs w:val="30"/>
        </w:rPr>
        <w:t>加强公共机构节能。</w:t>
      </w:r>
      <w:r>
        <w:rPr>
          <w:rFonts w:ascii="Times New Roman" w:hAnsi="Times New Roman" w:eastAsia="仿宋_GB2312" w:cs="Times New Roman"/>
          <w:sz w:val="30"/>
          <w:szCs w:val="30"/>
        </w:rPr>
        <w:t>积极开展节约型公共机构示范单位创建工作，推广学校、企事业单位等实施卫生间冲水系统节能改造、水龙头节能改造、太阳能路灯系统安装。认真开展节水型机关创建工作，努力践行“国家节水行动”战略部署，推进城市节水工作和创建节水型单位。积极推进机关节能，支持节能低碳绿色出行行动方案，助力公共机构节约能源资源，助力干部职工绿色出行。</w:t>
      </w:r>
    </w:p>
    <w:p w14:paraId="28AB7126">
      <w:pPr>
        <w:adjustRightInd w:val="0"/>
        <w:snapToGrid w:val="0"/>
        <w:spacing w:line="500" w:lineRule="exact"/>
        <w:ind w:firstLine="602" w:firstLineChars="200"/>
        <w:rPr>
          <w:rFonts w:ascii="Times New Roman" w:hAnsi="Times New Roman" w:eastAsia="仿宋_GB2312" w:cs="Times New Roman"/>
          <w:sz w:val="30"/>
          <w:szCs w:val="30"/>
        </w:rPr>
      </w:pPr>
      <w:r>
        <w:rPr>
          <w:rFonts w:ascii="Times New Roman" w:hAnsi="Times New Roman" w:eastAsia="仿宋_GB2312" w:cs="Times New Roman"/>
          <w:b/>
          <w:sz w:val="30"/>
          <w:szCs w:val="30"/>
        </w:rPr>
        <w:t>加强商贸节能。</w:t>
      </w:r>
      <w:r>
        <w:rPr>
          <w:rFonts w:ascii="Times New Roman" w:hAnsi="Times New Roman" w:eastAsia="仿宋_GB2312" w:cs="Times New Roman"/>
          <w:sz w:val="30"/>
          <w:szCs w:val="30"/>
        </w:rPr>
        <w:t>在零售业等商贸服务和旅游饭店开展节能行动。持续深入开展宾馆、商厦等公共建筑执行空调温度设置标准和限制过度包装执行情况检查。积极组织商贸企业开展节能活动，做好宣传工作。认真做好再生资源回收利用体系建设管理工作，抓好再生资源回收网点体系建设和再生资源回收行业规范管理工作，加强对再生资源回收企业的规范管理和督促检查。</w:t>
      </w:r>
    </w:p>
    <w:p w14:paraId="542096D8">
      <w:pPr>
        <w:spacing w:line="580" w:lineRule="exact"/>
        <w:ind w:firstLine="602" w:firstLineChars="200"/>
        <w:outlineLvl w:val="2"/>
        <w:rPr>
          <w:rFonts w:ascii="Times New Roman" w:hAnsi="Times New Roman" w:eastAsia="楷体_GB2312" w:cs="Times New Roman"/>
          <w:b/>
          <w:bCs/>
          <w:sz w:val="30"/>
          <w:szCs w:val="30"/>
        </w:rPr>
      </w:pPr>
      <w:bookmarkStart w:id="116" w:name="_Toc514917868"/>
      <w:bookmarkEnd w:id="116"/>
      <w:bookmarkStart w:id="117" w:name="_Toc528335043"/>
      <w:bookmarkStart w:id="118" w:name="_Toc522718993"/>
      <w:bookmarkStart w:id="119" w:name="_Toc524445016"/>
      <w:r>
        <w:rPr>
          <w:rFonts w:ascii="Times New Roman" w:hAnsi="Times New Roman" w:eastAsia="楷体_GB2312" w:cs="Times New Roman"/>
          <w:b/>
          <w:bCs/>
          <w:sz w:val="30"/>
          <w:szCs w:val="30"/>
        </w:rPr>
        <w:t>（二）加强水资源节约循环利用</w:t>
      </w:r>
      <w:bookmarkEnd w:id="117"/>
      <w:bookmarkEnd w:id="118"/>
      <w:bookmarkEnd w:id="119"/>
    </w:p>
    <w:p w14:paraId="0147C6B9">
      <w:pPr>
        <w:adjustRightInd w:val="0"/>
        <w:snapToGrid w:val="0"/>
        <w:spacing w:line="500" w:lineRule="exact"/>
        <w:ind w:firstLine="602" w:firstLineChars="200"/>
        <w:rPr>
          <w:rFonts w:ascii="Times New Roman" w:hAnsi="Times New Roman" w:eastAsia="仿宋_GB2312" w:cs="Times New Roman"/>
          <w:sz w:val="30"/>
          <w:szCs w:val="30"/>
        </w:rPr>
      </w:pPr>
      <w:bookmarkStart w:id="120" w:name="_Toc515435814"/>
      <w:bookmarkEnd w:id="120"/>
      <w:bookmarkStart w:id="121" w:name="_Toc522718994"/>
      <w:bookmarkStart w:id="122" w:name="_Toc524445017"/>
      <w:bookmarkStart w:id="123" w:name="_Toc528335044"/>
      <w:r>
        <w:rPr>
          <w:rFonts w:ascii="Times New Roman" w:hAnsi="Times New Roman" w:eastAsia="仿宋_GB2312" w:cs="Times New Roman"/>
          <w:b/>
          <w:sz w:val="30"/>
          <w:szCs w:val="30"/>
        </w:rPr>
        <w:t>加强节水技术改造和节水器具的推广。</w:t>
      </w:r>
      <w:r>
        <w:rPr>
          <w:rFonts w:ascii="Times New Roman" w:hAnsi="Times New Roman" w:eastAsia="仿宋_GB2312" w:cs="Times New Roman"/>
          <w:sz w:val="30"/>
          <w:szCs w:val="30"/>
        </w:rPr>
        <w:t>大力推广节水器具普及，引导和鼓励居民使用节水器具；禁止使用国家明令淘汰的用水器具；加强节水型生活用水器具市场监督管理。对企事业单位完成的内部水循环技术改造、中水回用技术改造、雨水收集及回用、废水回用技术改造和节水器具改造等项目给予一次性财政补贴。随着城市道路提档升级，按计划有序推进全县供水管网建设与改造，控制供水管网漏损率。</w:t>
      </w:r>
    </w:p>
    <w:p w14:paraId="399F4A0D">
      <w:pPr>
        <w:adjustRightInd w:val="0"/>
        <w:snapToGrid w:val="0"/>
        <w:spacing w:line="500" w:lineRule="exact"/>
        <w:ind w:firstLine="602" w:firstLineChars="200"/>
        <w:rPr>
          <w:rFonts w:ascii="Times New Roman" w:hAnsi="Times New Roman" w:eastAsia="仿宋_GB2312" w:cs="Times New Roman"/>
          <w:sz w:val="30"/>
          <w:szCs w:val="30"/>
        </w:rPr>
      </w:pPr>
      <w:r>
        <w:rPr>
          <w:rFonts w:ascii="Times New Roman" w:hAnsi="Times New Roman" w:eastAsia="仿宋_GB2312" w:cs="Times New Roman"/>
          <w:b/>
          <w:sz w:val="30"/>
          <w:szCs w:val="30"/>
        </w:rPr>
        <w:t>强化目标责任落实和考核。</w:t>
      </w:r>
      <w:r>
        <w:rPr>
          <w:rFonts w:ascii="Times New Roman" w:hAnsi="Times New Roman" w:eastAsia="仿宋_GB2312" w:cs="Times New Roman"/>
          <w:sz w:val="30"/>
          <w:szCs w:val="30"/>
        </w:rPr>
        <w:t>健全用水总量和强度目标责任制和责任追究制，坚持节水目标与综合目标考核相结合的考核体系，有效落实双控措施，确保完成自治区、市下达的年度目标任务。</w:t>
      </w:r>
    </w:p>
    <w:p w14:paraId="2EE899F5">
      <w:pPr>
        <w:spacing w:line="580" w:lineRule="exact"/>
        <w:ind w:firstLine="602" w:firstLineChars="200"/>
        <w:outlineLvl w:val="2"/>
        <w:rPr>
          <w:rFonts w:ascii="Times New Roman" w:hAnsi="Times New Roman" w:eastAsia="楷体_GB2312" w:cs="Times New Roman"/>
          <w:b/>
          <w:bCs/>
          <w:sz w:val="30"/>
          <w:szCs w:val="30"/>
        </w:rPr>
      </w:pPr>
      <w:r>
        <w:rPr>
          <w:rFonts w:ascii="Times New Roman" w:hAnsi="Times New Roman" w:eastAsia="楷体_GB2312" w:cs="Times New Roman"/>
          <w:b/>
          <w:bCs/>
          <w:sz w:val="30"/>
          <w:szCs w:val="30"/>
        </w:rPr>
        <w:t>（三）</w:t>
      </w:r>
      <w:bookmarkEnd w:id="121"/>
      <w:bookmarkEnd w:id="122"/>
      <w:bookmarkEnd w:id="123"/>
      <w:r>
        <w:rPr>
          <w:rFonts w:ascii="Times New Roman" w:hAnsi="Times New Roman" w:eastAsia="楷体_GB2312" w:cs="Times New Roman"/>
          <w:b/>
          <w:bCs/>
          <w:sz w:val="30"/>
          <w:szCs w:val="30"/>
        </w:rPr>
        <w:t>不断优化土地利用结构</w:t>
      </w:r>
    </w:p>
    <w:p w14:paraId="2C672B04">
      <w:pPr>
        <w:adjustRightInd w:val="0"/>
        <w:snapToGrid w:val="0"/>
        <w:spacing w:line="500" w:lineRule="exact"/>
        <w:ind w:firstLine="602" w:firstLineChars="200"/>
        <w:rPr>
          <w:rFonts w:ascii="Times New Roman" w:hAnsi="Times New Roman" w:eastAsia="仿宋_GB2312" w:cs="Times New Roman"/>
          <w:sz w:val="30"/>
          <w:szCs w:val="30"/>
        </w:rPr>
      </w:pPr>
      <w:bookmarkStart w:id="124" w:name="_Toc514667686"/>
      <w:bookmarkEnd w:id="124"/>
      <w:bookmarkStart w:id="125" w:name="_Toc528335045"/>
      <w:r>
        <w:rPr>
          <w:rFonts w:ascii="Times New Roman" w:hAnsi="Times New Roman" w:eastAsia="仿宋_GB2312" w:cs="Times New Roman"/>
          <w:b/>
          <w:sz w:val="30"/>
          <w:szCs w:val="30"/>
        </w:rPr>
        <w:t>严格落实土地利用总体规划。</w:t>
      </w:r>
      <w:r>
        <w:rPr>
          <w:rFonts w:ascii="Times New Roman" w:hAnsi="Times New Roman" w:eastAsia="仿宋_GB2312" w:cs="Times New Roman"/>
          <w:sz w:val="30"/>
          <w:szCs w:val="30"/>
        </w:rPr>
        <w:t>在进行土地利用结构和布局调整时，下级土地利用总体规划必须符合上级规划，特别要落实建设用地总规模、耕地保有量、基本农田保护面积等重要指标。</w:t>
      </w:r>
    </w:p>
    <w:p w14:paraId="0CE9F838">
      <w:pPr>
        <w:adjustRightInd w:val="0"/>
        <w:snapToGrid w:val="0"/>
        <w:spacing w:line="500" w:lineRule="exact"/>
        <w:ind w:firstLine="602" w:firstLineChars="200"/>
        <w:rPr>
          <w:rFonts w:ascii="Times New Roman" w:hAnsi="Times New Roman" w:eastAsia="仿宋_GB2312" w:cs="Times New Roman"/>
          <w:sz w:val="30"/>
          <w:szCs w:val="30"/>
        </w:rPr>
      </w:pPr>
      <w:r>
        <w:rPr>
          <w:rFonts w:ascii="Times New Roman" w:hAnsi="Times New Roman" w:eastAsia="仿宋_GB2312" w:cs="Times New Roman"/>
          <w:b/>
          <w:sz w:val="30"/>
          <w:szCs w:val="30"/>
        </w:rPr>
        <w:t>严控与优化建设用地。</w:t>
      </w:r>
      <w:r>
        <w:rPr>
          <w:rFonts w:ascii="Times New Roman" w:hAnsi="Times New Roman" w:eastAsia="仿宋_GB2312" w:cs="Times New Roman"/>
          <w:sz w:val="30"/>
          <w:szCs w:val="30"/>
        </w:rPr>
        <w:t>强化土地利用规划管控和用途管制，实行建设用地总量和强度双控，促进节约集约用地。大力推进城市立体开发和闲置用地综合整治，拓展资源利用新空间。加大土地综合整治力度，引导土地利用结构不断优化，充分实现土地利用的综合效益。强化建设用地总量和强度双控目标考核，</w:t>
      </w:r>
      <w:bookmarkStart w:id="126" w:name="_Hlk61691346"/>
      <w:r>
        <w:rPr>
          <w:rFonts w:ascii="Times New Roman" w:hAnsi="Times New Roman" w:eastAsia="仿宋_GB2312" w:cs="Times New Roman"/>
          <w:sz w:val="30"/>
          <w:szCs w:val="30"/>
        </w:rPr>
        <w:t>规划期内，</w:t>
      </w:r>
      <w:bookmarkEnd w:id="126"/>
      <w:r>
        <w:rPr>
          <w:rFonts w:ascii="Times New Roman" w:hAnsi="Times New Roman" w:eastAsia="仿宋_GB2312" w:cs="Times New Roman"/>
          <w:sz w:val="30"/>
          <w:szCs w:val="30"/>
        </w:rPr>
        <w:t>单位国内生产总值建设用地使用面积下降率保持高于</w:t>
      </w:r>
      <w:r>
        <w:rPr>
          <w:rFonts w:hint="eastAsia" w:ascii="Times New Roman" w:hAnsi="Times New Roman" w:eastAsia="仿宋_GB2312" w:cs="Times New Roman"/>
          <w:sz w:val="30"/>
          <w:szCs w:val="30"/>
        </w:rPr>
        <w:t>5.0</w:t>
      </w:r>
      <w:r>
        <w:rPr>
          <w:rFonts w:ascii="Times New Roman" w:hAnsi="Times New Roman" w:eastAsia="仿宋_GB2312" w:cs="Times New Roman"/>
          <w:sz w:val="30"/>
          <w:szCs w:val="30"/>
        </w:rPr>
        <w:t>。</w:t>
      </w:r>
    </w:p>
    <w:bookmarkEnd w:id="98"/>
    <w:bookmarkEnd w:id="99"/>
    <w:bookmarkEnd w:id="100"/>
    <w:bookmarkEnd w:id="125"/>
    <w:p w14:paraId="06E445ED">
      <w:pPr>
        <w:spacing w:line="580" w:lineRule="exact"/>
        <w:jc w:val="center"/>
        <w:outlineLvl w:val="1"/>
        <w:rPr>
          <w:rFonts w:ascii="Times New Roman" w:hAnsi="Times New Roman" w:eastAsia="黑体" w:cs="Times New Roman"/>
          <w:bCs/>
          <w:sz w:val="32"/>
          <w:szCs w:val="32"/>
        </w:rPr>
      </w:pPr>
      <w:bookmarkStart w:id="127" w:name="_Toc3755"/>
      <w:bookmarkStart w:id="128" w:name="_Toc21750"/>
      <w:r>
        <w:rPr>
          <w:rFonts w:ascii="Times New Roman" w:hAnsi="Times New Roman" w:eastAsia="黑体" w:cs="Times New Roman"/>
          <w:bCs/>
          <w:sz w:val="32"/>
          <w:szCs w:val="32"/>
        </w:rPr>
        <w:t>第</w:t>
      </w:r>
      <w:r>
        <w:rPr>
          <w:rFonts w:hint="eastAsia" w:ascii="Times New Roman" w:hAnsi="Times New Roman" w:eastAsia="黑体" w:cs="Times New Roman"/>
          <w:bCs/>
          <w:sz w:val="32"/>
          <w:szCs w:val="32"/>
        </w:rPr>
        <w:t>三</w:t>
      </w:r>
      <w:r>
        <w:rPr>
          <w:rFonts w:ascii="Times New Roman" w:hAnsi="Times New Roman" w:eastAsia="黑体" w:cs="Times New Roman"/>
          <w:bCs/>
          <w:sz w:val="32"/>
          <w:szCs w:val="32"/>
        </w:rPr>
        <w:t>节  推动科技创新</w:t>
      </w:r>
      <w:bookmarkEnd w:id="127"/>
      <w:bookmarkEnd w:id="128"/>
    </w:p>
    <w:p w14:paraId="7E5B56CE">
      <w:pPr>
        <w:spacing w:line="580" w:lineRule="exact"/>
        <w:ind w:firstLine="643" w:firstLineChars="200"/>
        <w:outlineLvl w:val="2"/>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（一）</w:t>
      </w:r>
      <w:r>
        <w:rPr>
          <w:rFonts w:hint="eastAsia" w:ascii="Times New Roman" w:hAnsi="Times New Roman" w:eastAsia="楷体_GB2312" w:cs="Times New Roman"/>
          <w:b/>
          <w:bCs/>
          <w:sz w:val="32"/>
          <w:szCs w:val="32"/>
        </w:rPr>
        <w:t>构建科协同技创新体系</w:t>
      </w:r>
    </w:p>
    <w:p w14:paraId="111E2881">
      <w:pPr>
        <w:adjustRightInd w:val="0"/>
        <w:snapToGrid w:val="0"/>
        <w:spacing w:line="500" w:lineRule="exact"/>
        <w:ind w:firstLine="602" w:firstLineChars="200"/>
        <w:rPr>
          <w:rFonts w:ascii="Times New Roman" w:hAnsi="Times New Roman" w:eastAsia="仿宋_GB2312" w:cs="Times New Roman"/>
          <w:sz w:val="30"/>
          <w:szCs w:val="30"/>
          <w:lang w:val="zh-CN"/>
        </w:rPr>
      </w:pPr>
      <w:r>
        <w:rPr>
          <w:rFonts w:hint="eastAsia" w:ascii="Times New Roman" w:hAnsi="Times New Roman" w:eastAsia="仿宋_GB2312" w:cs="Times New Roman"/>
          <w:b/>
          <w:sz w:val="30"/>
          <w:szCs w:val="30"/>
          <w:lang w:val="zh-CN"/>
        </w:rPr>
        <w:t>强化企业科技创新主体地位。</w:t>
      </w:r>
      <w:r>
        <w:rPr>
          <w:rFonts w:hint="eastAsia" w:ascii="Times New Roman" w:hAnsi="Times New Roman" w:eastAsia="仿宋_GB2312" w:cs="Times New Roman"/>
          <w:sz w:val="30"/>
          <w:szCs w:val="30"/>
          <w:lang w:val="zh-CN"/>
        </w:rPr>
        <w:t>构建以企业为主体、市场为导向、产学研相结合的技术创新体系，围绕农畜产品、藏刀、民族工艺品、民族服饰生产加工等优势产业领域，培育一批具有创新能力和创新项目的示范企业，打造一批转型升级和先进技术转移应用的典型企业。</w:t>
      </w:r>
    </w:p>
    <w:p w14:paraId="4D04A684">
      <w:pPr>
        <w:adjustRightInd w:val="0"/>
        <w:snapToGrid w:val="0"/>
        <w:spacing w:line="500" w:lineRule="exact"/>
        <w:ind w:firstLine="602" w:firstLineChars="200"/>
        <w:rPr>
          <w:rFonts w:ascii="Times New Roman" w:hAnsi="Times New Roman" w:eastAsia="仿宋_GB2312" w:cs="Times New Roman"/>
          <w:sz w:val="30"/>
          <w:szCs w:val="30"/>
          <w:lang w:val="zh-CN"/>
        </w:rPr>
      </w:pPr>
      <w:r>
        <w:rPr>
          <w:rFonts w:hint="eastAsia" w:ascii="Times New Roman" w:hAnsi="Times New Roman" w:eastAsia="仿宋_GB2312" w:cs="Times New Roman"/>
          <w:b/>
          <w:sz w:val="30"/>
          <w:szCs w:val="30"/>
          <w:lang w:val="zh-CN"/>
        </w:rPr>
        <w:t>打造科技协同创新平台。</w:t>
      </w:r>
      <w:r>
        <w:rPr>
          <w:rFonts w:hint="eastAsia" w:ascii="Times New Roman" w:hAnsi="Times New Roman" w:eastAsia="仿宋_GB2312" w:cs="Times New Roman"/>
          <w:sz w:val="30"/>
          <w:szCs w:val="30"/>
          <w:lang w:val="zh-CN"/>
        </w:rPr>
        <w:t>搭建科技资源共享、金融服务、成果转化3大科技创新服务平台。支持高校师生开展驻点实践，提供远程科技服务，切实推动实践成果落地。以泉洛产业园、俄西生态农业园和孜托镇加日扎村农业示范基地为重点，建设科技示范支持基地，支持设立大学生创业孵化基地、小微企业创业基地。推进科技协同创新平台建设，加强与对口援藏单位、科研院所合作，建设一批乡村振兴工作站；推进科技服务体系建设，完善县畜牧站科研业务用房和仪器设备，建设洛隆县农牧民培训基地。</w:t>
      </w:r>
    </w:p>
    <w:p w14:paraId="467504FF">
      <w:pPr>
        <w:spacing w:line="580" w:lineRule="exact"/>
        <w:ind w:firstLine="602" w:firstLineChars="200"/>
        <w:outlineLvl w:val="2"/>
        <w:rPr>
          <w:rFonts w:ascii="Times New Roman" w:hAnsi="Times New Roman" w:eastAsia="楷体_GB2312" w:cs="Times New Roman"/>
          <w:b/>
          <w:bCs/>
          <w:sz w:val="30"/>
          <w:szCs w:val="30"/>
        </w:rPr>
      </w:pPr>
      <w:r>
        <w:rPr>
          <w:rFonts w:ascii="Times New Roman" w:hAnsi="Times New Roman" w:eastAsia="楷体_GB2312" w:cs="Times New Roman"/>
          <w:b/>
          <w:bCs/>
          <w:sz w:val="30"/>
          <w:szCs w:val="30"/>
        </w:rPr>
        <w:t>（二）</w:t>
      </w:r>
      <w:r>
        <w:rPr>
          <w:rFonts w:hint="eastAsia" w:ascii="Times New Roman" w:hAnsi="Times New Roman" w:eastAsia="楷体_GB2312" w:cs="Times New Roman"/>
          <w:b/>
          <w:bCs/>
          <w:sz w:val="30"/>
          <w:szCs w:val="30"/>
        </w:rPr>
        <w:t>构建技术研发转化体系</w:t>
      </w:r>
    </w:p>
    <w:p w14:paraId="124D8BD2">
      <w:pPr>
        <w:adjustRightInd w:val="0"/>
        <w:snapToGrid w:val="0"/>
        <w:spacing w:line="500" w:lineRule="exact"/>
        <w:ind w:firstLine="602" w:firstLineChars="200"/>
        <w:rPr>
          <w:rFonts w:ascii="Times New Roman" w:hAnsi="Times New Roman" w:eastAsia="仿宋_GB2312" w:cs="Times New Roman"/>
          <w:sz w:val="30"/>
          <w:szCs w:val="30"/>
          <w:lang w:val="zh-CN"/>
        </w:rPr>
      </w:pPr>
      <w:r>
        <w:rPr>
          <w:rFonts w:hint="eastAsia" w:ascii="Times New Roman" w:hAnsi="Times New Roman" w:eastAsia="仿宋_GB2312" w:cs="Times New Roman"/>
          <w:b/>
          <w:sz w:val="30"/>
          <w:szCs w:val="30"/>
          <w:lang w:val="zh-CN"/>
        </w:rPr>
        <w:t>组织实施重点科技项目。</w:t>
      </w:r>
      <w:r>
        <w:rPr>
          <w:rFonts w:hint="eastAsia" w:ascii="Times New Roman" w:hAnsi="Times New Roman" w:eastAsia="仿宋_GB2312" w:cs="Times New Roman"/>
          <w:sz w:val="30"/>
          <w:szCs w:val="30"/>
          <w:lang w:val="zh-CN"/>
        </w:rPr>
        <w:t>围绕产业链部署创新链，在青稞、藏猪、果蔬、林果等为代表的绿色农畜产品加工、民族工艺品开发、清洁能源高效利用领域突破和掌握一批关键核心技术，促进优势产业转型升级。加大农业生物技术、农业设施与智能装备、食品制造与营养健康、节水节能高效生态农业等领域的技术研发和转化应用。大力发展设施农业综合体，打造高精尖的现代农业发展载体。支持农业关键技术的研发，加快推进种植业机械化作业，养殖业、蔬菜业、水果业装备化生产；支持在现代农业园区、各类产业基地建设一批装备设施完备、机械化程度高的高新技术产业示范片区；支持有条件的农业龙头企业联合高校院所建立重点实验室、工程技术研究中心，争创市级以上科技创新平台。</w:t>
      </w:r>
    </w:p>
    <w:p w14:paraId="43F9C151">
      <w:pPr>
        <w:adjustRightInd w:val="0"/>
        <w:snapToGrid w:val="0"/>
        <w:spacing w:line="500" w:lineRule="exact"/>
        <w:ind w:firstLine="602" w:firstLineChars="200"/>
        <w:rPr>
          <w:rFonts w:ascii="Times New Roman" w:hAnsi="Times New Roman" w:eastAsia="仿宋_GB2312" w:cs="Times New Roman"/>
          <w:sz w:val="30"/>
          <w:szCs w:val="30"/>
          <w:lang w:val="zh-CN"/>
        </w:rPr>
      </w:pPr>
      <w:r>
        <w:rPr>
          <w:rFonts w:hint="eastAsia" w:ascii="Times New Roman" w:hAnsi="Times New Roman" w:eastAsia="仿宋_GB2312" w:cs="Times New Roman"/>
          <w:b/>
          <w:sz w:val="30"/>
          <w:szCs w:val="30"/>
          <w:lang w:val="zh-CN"/>
        </w:rPr>
        <w:t>健全科技服务体系。</w:t>
      </w:r>
      <w:r>
        <w:rPr>
          <w:rFonts w:hint="eastAsia" w:ascii="Times New Roman" w:hAnsi="Times New Roman" w:eastAsia="仿宋_GB2312" w:cs="Times New Roman"/>
          <w:sz w:val="30"/>
          <w:szCs w:val="30"/>
          <w:lang w:val="zh-CN"/>
        </w:rPr>
        <w:t>围绕“规范县级、强化乡级、夯实村级”的目标，继续加强基层农技服务机构建设，改善推广条件，提高人员素质。建立首席专家、农业技术推广人员、农业科技特派员和新型经营主体的联动机制，探索建立“技术团队+基层农技推广体系+新型职业农民培育”的新型农业科技服务模式。加大对现代农业园区、各类产业基地的支持力度，将其打造成为科技农业示范推广基地，争创高新技术产业示范区。</w:t>
      </w:r>
    </w:p>
    <w:p w14:paraId="5F7A2BF2">
      <w:pPr>
        <w:adjustRightInd w:val="0"/>
        <w:snapToGrid w:val="0"/>
        <w:spacing w:line="500" w:lineRule="exact"/>
        <w:ind w:firstLine="602" w:firstLineChars="200"/>
        <w:rPr>
          <w:rFonts w:ascii="Times New Roman" w:hAnsi="Times New Roman" w:eastAsia="仿宋_GB2312" w:cs="Times New Roman"/>
          <w:sz w:val="30"/>
          <w:szCs w:val="30"/>
        </w:rPr>
      </w:pPr>
      <w:r>
        <w:rPr>
          <w:rFonts w:hint="eastAsia" w:ascii="Times New Roman" w:hAnsi="Times New Roman" w:eastAsia="仿宋_GB2312" w:cs="Times New Roman"/>
          <w:b/>
          <w:sz w:val="30"/>
          <w:szCs w:val="30"/>
          <w:lang w:val="zh-CN"/>
        </w:rPr>
        <w:t>建立科技成果转化体系。</w:t>
      </w:r>
      <w:r>
        <w:rPr>
          <w:rFonts w:hint="eastAsia" w:ascii="Times New Roman" w:hAnsi="Times New Roman" w:eastAsia="仿宋_GB2312" w:cs="Times New Roman"/>
          <w:sz w:val="30"/>
          <w:szCs w:val="30"/>
          <w:lang w:val="zh-CN"/>
        </w:rPr>
        <w:t>加强金融对科技成果转化的支持服务，在洛隆县投资基金中设立科技成果转化资金池，力争科技创新成果在洛隆本地转化及产业化。建立企业和高等院校、科研机构常态化的对接机制。探索建立专家、企业家、中介服务机构和科技金融机构共同参与的科技成果评价体系，强化对技术转移机构的评价考核。</w:t>
      </w:r>
    </w:p>
    <w:p w14:paraId="6CF4D5DA">
      <w:pPr>
        <w:spacing w:before="156" w:beforeLines="50" w:line="360" w:lineRule="auto"/>
        <w:jc w:val="center"/>
        <w:outlineLvl w:val="1"/>
        <w:rPr>
          <w:rFonts w:ascii="Times New Roman" w:hAnsi="Times New Roman" w:eastAsia="黑体" w:cs="Times New Roman"/>
          <w:bCs/>
          <w:sz w:val="32"/>
          <w:szCs w:val="32"/>
          <w:lang w:val="zh-CN"/>
        </w:rPr>
      </w:pPr>
      <w:bookmarkStart w:id="129" w:name="_Toc22027"/>
      <w:bookmarkStart w:id="130" w:name="_Toc102080573"/>
      <w:r>
        <w:rPr>
          <w:rFonts w:hint="eastAsia" w:ascii="Times New Roman" w:hAnsi="Times New Roman" w:eastAsia="黑体" w:cs="Times New Roman"/>
          <w:bCs/>
          <w:sz w:val="32"/>
          <w:szCs w:val="32"/>
        </w:rPr>
        <w:t xml:space="preserve">第四节  </w:t>
      </w:r>
      <w:r>
        <w:rPr>
          <w:rFonts w:ascii="Times New Roman" w:hAnsi="Times New Roman" w:eastAsia="黑体" w:cs="Times New Roman"/>
          <w:bCs/>
          <w:sz w:val="32"/>
          <w:szCs w:val="32"/>
          <w:lang w:val="zh-CN"/>
        </w:rPr>
        <w:t>推动实现生态资源价值</w:t>
      </w:r>
      <w:bookmarkEnd w:id="129"/>
      <w:bookmarkEnd w:id="130"/>
    </w:p>
    <w:p w14:paraId="07BCFE77">
      <w:pPr>
        <w:spacing w:line="580" w:lineRule="exact"/>
        <w:ind w:firstLine="602" w:firstLineChars="200"/>
        <w:outlineLvl w:val="2"/>
        <w:rPr>
          <w:rFonts w:ascii="Times New Roman" w:hAnsi="Times New Roman" w:eastAsia="楷体_GB2312" w:cs="Times New Roman"/>
          <w:b/>
          <w:bCs/>
          <w:sz w:val="30"/>
          <w:szCs w:val="30"/>
          <w:lang w:val="zh-CN"/>
        </w:rPr>
      </w:pPr>
      <w:r>
        <w:rPr>
          <w:rFonts w:hint="eastAsia" w:ascii="Times New Roman" w:hAnsi="Times New Roman" w:eastAsia="楷体_GB2312" w:cs="Times New Roman"/>
          <w:b/>
          <w:bCs/>
          <w:sz w:val="30"/>
          <w:szCs w:val="30"/>
          <w:lang w:val="zh-CN"/>
        </w:rPr>
        <w:t>（</w:t>
      </w:r>
      <w:r>
        <w:rPr>
          <w:rFonts w:hint="eastAsia" w:ascii="Times New Roman" w:hAnsi="Times New Roman" w:eastAsia="楷体_GB2312" w:cs="Times New Roman"/>
          <w:b/>
          <w:bCs/>
          <w:sz w:val="30"/>
          <w:szCs w:val="30"/>
        </w:rPr>
        <w:t>一</w:t>
      </w:r>
      <w:r>
        <w:rPr>
          <w:rFonts w:hint="eastAsia" w:ascii="Times New Roman" w:hAnsi="Times New Roman" w:eastAsia="楷体_GB2312" w:cs="Times New Roman"/>
          <w:b/>
          <w:bCs/>
          <w:sz w:val="30"/>
          <w:szCs w:val="30"/>
          <w:lang w:val="zh-CN"/>
        </w:rPr>
        <w:t>）增加生态产品和服务供给</w:t>
      </w:r>
    </w:p>
    <w:p w14:paraId="787ACEDA">
      <w:pPr>
        <w:adjustRightInd w:val="0"/>
        <w:snapToGrid w:val="0"/>
        <w:spacing w:line="500" w:lineRule="exact"/>
        <w:ind w:firstLine="600" w:firstLineChars="200"/>
        <w:rPr>
          <w:rFonts w:ascii="Times New Roman" w:hAnsi="Times New Roman" w:eastAsia="仿宋_GB2312" w:cs="Times New Roman"/>
          <w:sz w:val="30"/>
          <w:szCs w:val="30"/>
          <w:lang w:val="zh-CN"/>
        </w:rPr>
      </w:pPr>
      <w:r>
        <w:rPr>
          <w:rFonts w:hint="eastAsia" w:ascii="Times New Roman" w:hAnsi="Times New Roman" w:eastAsia="仿宋_GB2312" w:cs="Times New Roman"/>
          <w:sz w:val="30"/>
          <w:szCs w:val="30"/>
          <w:lang w:val="zh-CN"/>
        </w:rPr>
        <w:t>顺应人民群众对乡村优美风光、生态产品和服务需求不断增长的趋势，正确处理开发与保护的关系，将乡村生态优势转化为发展生态经济的优势，提供更多更好的绿色生态产品和服务，促进生态和经济良性循环。加快发展森林旅游、河湖生态观光、高原探险运动、温泉度假旅游、野生动物驯养繁殖等产业，积极开发观光农业、游憩休闲、健康养生、生态教育等服务。大力发展“生态+”产业，实施原生态保护，创建一批特色生态旅游示范村和精品线路，打造绿色生态环保的乡村生态旅游产业链。</w:t>
      </w:r>
    </w:p>
    <w:p w14:paraId="1A5E872B">
      <w:pPr>
        <w:spacing w:line="580" w:lineRule="exact"/>
        <w:ind w:firstLine="602" w:firstLineChars="200"/>
        <w:outlineLvl w:val="2"/>
        <w:rPr>
          <w:rFonts w:ascii="Times New Roman" w:hAnsi="Times New Roman" w:eastAsia="楷体_GB2312" w:cs="Times New Roman"/>
          <w:b/>
          <w:bCs/>
          <w:sz w:val="30"/>
          <w:szCs w:val="30"/>
          <w:lang w:val="zh-CN"/>
        </w:rPr>
      </w:pPr>
      <w:r>
        <w:rPr>
          <w:rFonts w:hint="eastAsia" w:ascii="Times New Roman" w:hAnsi="Times New Roman" w:eastAsia="楷体_GB2312" w:cs="Times New Roman"/>
          <w:b/>
          <w:bCs/>
          <w:sz w:val="30"/>
          <w:szCs w:val="30"/>
          <w:lang w:val="zh-CN"/>
        </w:rPr>
        <w:t>（</w:t>
      </w:r>
      <w:r>
        <w:rPr>
          <w:rFonts w:hint="eastAsia" w:ascii="Times New Roman" w:hAnsi="Times New Roman" w:eastAsia="楷体_GB2312" w:cs="Times New Roman"/>
          <w:b/>
          <w:bCs/>
          <w:sz w:val="30"/>
          <w:szCs w:val="30"/>
        </w:rPr>
        <w:t>二</w:t>
      </w:r>
      <w:r>
        <w:rPr>
          <w:rFonts w:hint="eastAsia" w:ascii="Times New Roman" w:hAnsi="Times New Roman" w:eastAsia="楷体_GB2312" w:cs="Times New Roman"/>
          <w:b/>
          <w:bCs/>
          <w:sz w:val="30"/>
          <w:szCs w:val="30"/>
          <w:lang w:val="zh-CN"/>
        </w:rPr>
        <w:t>）发挥自然资源多重效益</w:t>
      </w:r>
    </w:p>
    <w:p w14:paraId="37744DC5">
      <w:pPr>
        <w:adjustRightInd w:val="0"/>
        <w:snapToGrid w:val="0"/>
        <w:spacing w:line="500" w:lineRule="exact"/>
        <w:ind w:firstLine="600" w:firstLineChars="200"/>
        <w:rPr>
          <w:rFonts w:ascii="Times New Roman" w:hAnsi="Times New Roman" w:eastAsia="仿宋_GB2312" w:cs="Times New Roman"/>
          <w:sz w:val="30"/>
          <w:szCs w:val="30"/>
          <w:lang w:val="zh-CN"/>
        </w:rPr>
      </w:pPr>
      <w:r>
        <w:rPr>
          <w:rFonts w:hint="eastAsia" w:ascii="Times New Roman" w:hAnsi="Times New Roman" w:eastAsia="仿宋_GB2312" w:cs="Times New Roman"/>
          <w:sz w:val="30"/>
          <w:szCs w:val="30"/>
          <w:lang w:val="zh-CN"/>
        </w:rPr>
        <w:t>加快推进自然资源资产确权及生态价值应用，将生态优势转化为绿色发展优势，挖掘生态旅游、生态农业等特色产业潜力。进一步盘活森林、草原、湿地等生态资源，允许集体经济组织灵活利用现有生产服务设施用地开展相关经营活动。鼓励社会力量参与生态保护修复，对集中连片开展生态修复达到一定规模的经营主体，在符合土地管理法律法规和土地利用总体规划、依法办理建设用地审批手续、坚持节约集约用地的前提下，允许利用一定比例的治理面积从事旅游、康养、体育、设施农业等产业开发。深化集体林权制度改革，放活对集体和个人所有的人工商品林采伐和运输管理，扩大商品林经营自主权。进一步健全自然资源有偿使用制度，开展有偿使用试点，探索现代农业生态服务价值提升对促进农牧民增收的有效实现路径。</w:t>
      </w:r>
    </w:p>
    <w:bookmarkEnd w:id="101"/>
    <w:bookmarkEnd w:id="102"/>
    <w:p w14:paraId="3ABC7A2C">
      <w:pPr>
        <w:adjustRightInd w:val="0"/>
        <w:snapToGrid w:val="0"/>
        <w:spacing w:line="500" w:lineRule="exact"/>
        <w:ind w:firstLine="600" w:firstLineChars="200"/>
        <w:rPr>
          <w:rFonts w:ascii="Times New Roman" w:hAnsi="Times New Roman" w:eastAsia="仿宋_GB2312" w:cs="Times New Roman"/>
          <w:sz w:val="30"/>
          <w:szCs w:val="30"/>
          <w:lang w:val="zh-CN"/>
        </w:rPr>
        <w:sectPr>
          <w:pgSz w:w="11906" w:h="16838"/>
          <w:pgMar w:top="1440" w:right="1800" w:bottom="1440" w:left="1800" w:header="851" w:footer="992" w:gutter="0"/>
          <w:cols w:space="720" w:num="1"/>
          <w:docGrid w:type="lines" w:linePitch="312" w:charSpace="0"/>
        </w:sectPr>
      </w:pPr>
    </w:p>
    <w:p w14:paraId="1C239235">
      <w:pPr>
        <w:pageBreakBefore/>
        <w:spacing w:line="580" w:lineRule="exact"/>
        <w:jc w:val="center"/>
        <w:outlineLvl w:val="0"/>
        <w:rPr>
          <w:rFonts w:ascii="方正小标宋简体" w:hAnsi="Times New Roman" w:eastAsia="方正小标宋简体" w:cs="Times New Roman"/>
          <w:sz w:val="36"/>
          <w:szCs w:val="36"/>
        </w:rPr>
      </w:pPr>
      <w:bookmarkStart w:id="131" w:name="_Toc528335046"/>
      <w:bookmarkStart w:id="132" w:name="_Toc1928"/>
      <w:bookmarkStart w:id="133" w:name="_Toc9232"/>
      <w:r>
        <w:rPr>
          <w:rFonts w:ascii="方正小标宋简体" w:hAnsi="Times New Roman" w:eastAsia="方正小标宋简体" w:cs="Times New Roman"/>
          <w:sz w:val="36"/>
          <w:szCs w:val="36"/>
        </w:rPr>
        <w:t xml:space="preserve">第五章 </w:t>
      </w:r>
      <w:bookmarkEnd w:id="131"/>
      <w:r>
        <w:rPr>
          <w:rFonts w:ascii="方正小标宋简体" w:hAnsi="Times New Roman" w:eastAsia="方正小标宋简体" w:cs="Times New Roman"/>
          <w:sz w:val="36"/>
          <w:szCs w:val="36"/>
        </w:rPr>
        <w:t>改善生态环境质量，巩固县域生态安全</w:t>
      </w:r>
      <w:bookmarkEnd w:id="132"/>
      <w:bookmarkEnd w:id="133"/>
    </w:p>
    <w:p w14:paraId="5F5F2DCA">
      <w:pPr>
        <w:spacing w:line="580" w:lineRule="exact"/>
        <w:jc w:val="center"/>
        <w:outlineLvl w:val="1"/>
        <w:rPr>
          <w:rFonts w:ascii="Times New Roman" w:hAnsi="Times New Roman" w:eastAsia="黑体" w:cs="Times New Roman"/>
          <w:bCs/>
          <w:sz w:val="32"/>
          <w:szCs w:val="32"/>
        </w:rPr>
      </w:pPr>
      <w:bookmarkStart w:id="134" w:name="_Toc22699"/>
      <w:bookmarkStart w:id="135" w:name="_Toc14035"/>
      <w:bookmarkStart w:id="136" w:name="_Toc23524"/>
      <w:bookmarkStart w:id="137" w:name="_Toc528335047"/>
    </w:p>
    <w:p w14:paraId="1BACC463">
      <w:pPr>
        <w:spacing w:line="580" w:lineRule="exact"/>
        <w:jc w:val="center"/>
        <w:outlineLvl w:val="1"/>
        <w:rPr>
          <w:rFonts w:ascii="Times New Roman" w:hAnsi="Times New Roman" w:eastAsia="黑体" w:cs="Times New Roman"/>
          <w:bCs/>
          <w:sz w:val="32"/>
          <w:szCs w:val="32"/>
        </w:rPr>
      </w:pPr>
      <w:r>
        <w:rPr>
          <w:rFonts w:ascii="Times New Roman" w:hAnsi="Times New Roman" w:eastAsia="黑体" w:cs="Times New Roman"/>
          <w:bCs/>
          <w:sz w:val="32"/>
          <w:szCs w:val="32"/>
        </w:rPr>
        <w:t>第</w:t>
      </w:r>
      <w:r>
        <w:rPr>
          <w:rFonts w:hint="eastAsia" w:ascii="Times New Roman" w:hAnsi="Times New Roman" w:eastAsia="黑体" w:cs="Times New Roman"/>
          <w:bCs/>
          <w:sz w:val="32"/>
          <w:szCs w:val="32"/>
        </w:rPr>
        <w:t>一</w:t>
      </w:r>
      <w:r>
        <w:rPr>
          <w:rFonts w:ascii="Times New Roman" w:hAnsi="Times New Roman" w:eastAsia="黑体" w:cs="Times New Roman"/>
          <w:bCs/>
          <w:sz w:val="32"/>
          <w:szCs w:val="32"/>
        </w:rPr>
        <w:t>节  加强生态保护与修复</w:t>
      </w:r>
      <w:bookmarkEnd w:id="134"/>
      <w:bookmarkEnd w:id="135"/>
    </w:p>
    <w:p w14:paraId="4DF6C83B">
      <w:pPr>
        <w:spacing w:line="580" w:lineRule="exact"/>
        <w:ind w:firstLine="602" w:firstLineChars="200"/>
        <w:outlineLvl w:val="2"/>
        <w:rPr>
          <w:rFonts w:ascii="Times New Roman" w:hAnsi="Times New Roman" w:eastAsia="楷体_GB2312" w:cs="Times New Roman"/>
          <w:b/>
          <w:bCs/>
          <w:sz w:val="30"/>
          <w:szCs w:val="30"/>
        </w:rPr>
      </w:pPr>
      <w:bookmarkStart w:id="138" w:name="_Toc19875"/>
      <w:bookmarkStart w:id="139" w:name="_Toc524445027"/>
      <w:bookmarkStart w:id="140" w:name="_Toc528335054"/>
      <w:bookmarkStart w:id="141" w:name="_Toc522719005"/>
      <w:r>
        <w:rPr>
          <w:rFonts w:ascii="Times New Roman" w:hAnsi="Times New Roman" w:eastAsia="楷体_GB2312" w:cs="Times New Roman"/>
          <w:b/>
          <w:bCs/>
          <w:sz w:val="30"/>
          <w:szCs w:val="30"/>
        </w:rPr>
        <w:t>（一）</w:t>
      </w:r>
      <w:bookmarkEnd w:id="138"/>
      <w:r>
        <w:rPr>
          <w:rFonts w:hint="eastAsia" w:ascii="Times New Roman" w:hAnsi="Times New Roman" w:eastAsia="楷体_GB2312" w:cs="Times New Roman"/>
          <w:b/>
          <w:bCs/>
          <w:sz w:val="30"/>
          <w:szCs w:val="30"/>
        </w:rPr>
        <w:t>科学开展国土绿化</w:t>
      </w:r>
    </w:p>
    <w:p w14:paraId="0F6C571A">
      <w:pPr>
        <w:adjustRightInd w:val="0"/>
        <w:snapToGrid w:val="0"/>
        <w:spacing w:line="500" w:lineRule="exact"/>
        <w:ind w:firstLine="602" w:firstLineChars="200"/>
        <w:rPr>
          <w:rFonts w:ascii="Times New Roman" w:hAnsi="Times New Roman" w:eastAsia="仿宋_GB2312" w:cs="Times New Roman"/>
          <w:sz w:val="30"/>
          <w:szCs w:val="30"/>
          <w:lang w:val="zh-CN"/>
        </w:rPr>
      </w:pPr>
      <w:r>
        <w:rPr>
          <w:rFonts w:hint="eastAsia" w:ascii="Times New Roman" w:hAnsi="Times New Roman" w:eastAsia="仿宋_GB2312" w:cs="Times New Roman"/>
          <w:b/>
          <w:bCs/>
          <w:sz w:val="30"/>
          <w:szCs w:val="30"/>
        </w:rPr>
        <w:t>科学推进国土绿化和生态保护修复</w:t>
      </w:r>
      <w:r>
        <w:rPr>
          <w:rFonts w:ascii="Times New Roman" w:hAnsi="Times New Roman" w:eastAsia="仿宋_GB2312" w:cs="Times New Roman"/>
          <w:b/>
          <w:bCs/>
          <w:sz w:val="30"/>
          <w:szCs w:val="30"/>
        </w:rPr>
        <w:t>。</w:t>
      </w:r>
      <w:r>
        <w:rPr>
          <w:rFonts w:hint="eastAsia" w:ascii="Times New Roman" w:hAnsi="Times New Roman" w:eastAsia="仿宋_GB2312" w:cs="Times New Roman"/>
          <w:sz w:val="30"/>
          <w:szCs w:val="30"/>
          <w:lang w:val="zh-CN"/>
        </w:rPr>
        <w:t>落实自然恢复为主、人工修复与自然恢复相结合的方针，遵循自然生态规律，科学开展生态保护修复，持续开展植树造林，实现国土空间绿化美化。以天然林保护修复、退化草原修复等林草重点生态工程为抓手，切实加大生态脆弱区、退化草原区等重点区域的生态治理和植被恢复，以生态修复大工程带动国土绿化大发展。大力培育乡土苗术和草种，实现生态建设树种、草种乡土化。实施好怒江上游生态综合治理项目。</w:t>
      </w:r>
    </w:p>
    <w:p w14:paraId="4A5647DA">
      <w:pPr>
        <w:adjustRightInd w:val="0"/>
        <w:snapToGrid w:val="0"/>
        <w:spacing w:line="500" w:lineRule="exact"/>
        <w:ind w:firstLine="602" w:firstLineChars="200"/>
        <w:rPr>
          <w:rFonts w:ascii="Times New Roman" w:hAnsi="Times New Roman" w:eastAsia="仿宋_GB2312" w:cs="Times New Roman"/>
          <w:sz w:val="30"/>
          <w:szCs w:val="30"/>
          <w:lang w:val="zh-CN"/>
        </w:rPr>
      </w:pPr>
      <w:r>
        <w:rPr>
          <w:rFonts w:hint="eastAsia" w:ascii="Times New Roman" w:hAnsi="Times New Roman" w:eastAsia="仿宋_GB2312" w:cs="Times New Roman"/>
          <w:b/>
          <w:bCs/>
          <w:sz w:val="30"/>
          <w:szCs w:val="30"/>
        </w:rPr>
        <w:t>统筹推进美丽昌都和乡村美化绿化建设。</w:t>
      </w:r>
      <w:r>
        <w:rPr>
          <w:rFonts w:hint="eastAsia" w:ascii="Times New Roman" w:hAnsi="Times New Roman" w:eastAsia="仿宋_GB2312" w:cs="Times New Roman"/>
          <w:sz w:val="30"/>
          <w:szCs w:val="30"/>
          <w:lang w:val="zh-CN"/>
        </w:rPr>
        <w:t>依托洛隆现有地理位置、水系条件、气候特点等，推进以城镇村落、道路、园区、景区、流域、庭院六大区域为重点的国土绿化。坚持因地制宜，适地适树的原则，立足本地实际，在水土流失、沙化防治地区大力建设生态林、水土保持林；在干热河谷地带建设经济林；在县城、重点乡镇周边大力开展森林围城；在重要交通沿线、河道沿线、城镇周边、人口密集区大力建设景观林和护路林、护岸林；充分结合异地搬迁点产业需求，因地制宜发展林业产业；在农田退化、田地投入产出不均衡的地方大力建设农田林网和实施退耕还林。持续实施《洛隆县大力推进村庄绿化工作实施方案》，大力实施“两江四河”流域造林绿化工程，完成造林绿化5万亩。到2025年，全县森林覆盖率达到50%，林木绿化率达到55%。</w:t>
      </w:r>
    </w:p>
    <w:p w14:paraId="6B0F5401">
      <w:pPr>
        <w:adjustRightInd w:val="0"/>
        <w:snapToGrid w:val="0"/>
        <w:spacing w:line="500" w:lineRule="exact"/>
        <w:ind w:firstLine="602" w:firstLineChars="200"/>
        <w:rPr>
          <w:rFonts w:ascii="Times New Roman" w:hAnsi="Times New Roman" w:eastAsia="仿宋_GB2312" w:cs="Times New Roman"/>
          <w:sz w:val="30"/>
          <w:szCs w:val="30"/>
          <w:lang w:val="zh-CN"/>
        </w:rPr>
      </w:pPr>
      <w:r>
        <w:rPr>
          <w:rFonts w:hint="eastAsia" w:ascii="Times New Roman" w:hAnsi="Times New Roman" w:eastAsia="仿宋_GB2312" w:cs="Times New Roman"/>
          <w:b/>
          <w:bCs/>
          <w:sz w:val="30"/>
          <w:szCs w:val="30"/>
        </w:rPr>
        <w:t>加强城镇周边林草植被保护。</w:t>
      </w:r>
      <w:r>
        <w:rPr>
          <w:rFonts w:hint="eastAsia" w:ascii="Times New Roman" w:hAnsi="Times New Roman" w:eastAsia="仿宋_GB2312" w:cs="Times New Roman"/>
          <w:sz w:val="30"/>
          <w:szCs w:val="30"/>
          <w:lang w:val="zh-CN"/>
        </w:rPr>
        <w:t>城镇范围实现应绿尽绿，增加街旁绿地、防护绿地、居住绿地、单位附属绿地、小游园和森林公园等城市森林。在集镇主次干道、重要节点、空置土地统筹开展规划建绿、拆违增绿、破硬增绿、见缝插绿、留白增绿，提高城区绿地覆盖率。加强古树名木和小微湿地等保护，推进荒山荒坡造林和植被恢复。对区域内的G349等重要的公路进行道路绿化，建设川藏铁路绿色交通走廊。持续巩固和提升消除“无树村、无树户”成果，开展乡村“四旁”植树行动。</w:t>
      </w:r>
    </w:p>
    <w:p w14:paraId="46169416">
      <w:pPr>
        <w:spacing w:line="580" w:lineRule="exact"/>
        <w:ind w:firstLine="602" w:firstLineChars="200"/>
        <w:outlineLvl w:val="2"/>
        <w:rPr>
          <w:rFonts w:ascii="Times New Roman" w:hAnsi="Times New Roman" w:eastAsia="楷体_GB2312" w:cs="Times New Roman"/>
          <w:b/>
          <w:bCs/>
          <w:sz w:val="30"/>
          <w:szCs w:val="30"/>
        </w:rPr>
      </w:pPr>
      <w:bookmarkStart w:id="142" w:name="_Toc973"/>
      <w:r>
        <w:rPr>
          <w:rFonts w:ascii="Times New Roman" w:hAnsi="Times New Roman" w:eastAsia="楷体_GB2312" w:cs="Times New Roman"/>
          <w:b/>
          <w:bCs/>
          <w:sz w:val="30"/>
          <w:szCs w:val="30"/>
        </w:rPr>
        <w:t>（二）</w:t>
      </w:r>
      <w:bookmarkEnd w:id="142"/>
      <w:r>
        <w:rPr>
          <w:rFonts w:hint="eastAsia" w:ascii="Times New Roman" w:hAnsi="Times New Roman" w:eastAsia="楷体_GB2312" w:cs="Times New Roman"/>
          <w:b/>
          <w:bCs/>
          <w:sz w:val="30"/>
          <w:szCs w:val="30"/>
        </w:rPr>
        <w:t>加强以国家公园为主体的自然保护地体系建设</w:t>
      </w:r>
    </w:p>
    <w:p w14:paraId="6B3BF538">
      <w:pPr>
        <w:adjustRightInd w:val="0"/>
        <w:snapToGrid w:val="0"/>
        <w:spacing w:line="500" w:lineRule="exact"/>
        <w:ind w:firstLine="602" w:firstLineChars="200"/>
        <w:rPr>
          <w:rFonts w:ascii="Times New Roman" w:hAnsi="Times New Roman" w:eastAsia="仿宋_GB2312" w:cs="Times New Roman"/>
          <w:sz w:val="30"/>
          <w:szCs w:val="30"/>
          <w:lang w:val="zh-CN"/>
        </w:rPr>
      </w:pPr>
      <w:r>
        <w:rPr>
          <w:rFonts w:hint="eastAsia" w:ascii="Times New Roman" w:hAnsi="Times New Roman" w:eastAsia="仿宋_GB2312" w:cs="Times New Roman"/>
          <w:b/>
          <w:bCs/>
          <w:sz w:val="30"/>
          <w:szCs w:val="30"/>
        </w:rPr>
        <w:t>完善自然保护地整合优化。</w:t>
      </w:r>
      <w:r>
        <w:rPr>
          <w:rFonts w:hint="eastAsia" w:ascii="Times New Roman" w:hAnsi="Times New Roman" w:eastAsia="仿宋_GB2312" w:cs="Times New Roman"/>
          <w:sz w:val="30"/>
          <w:szCs w:val="30"/>
          <w:lang w:val="zh-CN"/>
        </w:rPr>
        <w:t>全面推进自然保护地高质量发展，加快自然保护地体系建设。继续细化完善自然保护地整合优化预案，待自然保护地整合优化预案国家正式审批后，理顺自然保护地关系，切实加强森林、草原、湿地、荒漠生态系统保护修复和野生动植物保护。密切跟进自然保护地整合优化报批进展。做好典型问题处置方案，积极配合有关部门开展永久基本农田、矿业权等问题处置。持续推进自然保护地勘界立标工作，落实自然保护地机构设置和人员编制，建立协同高效的管理体制机制。完善自然保护地管理体系持续推进完善自然保护地总体规划编制、审查、报批工作，制订和完善自然保护地建设管理的地方政策措施和管理办法。</w:t>
      </w:r>
    </w:p>
    <w:p w14:paraId="763B4E64">
      <w:pPr>
        <w:adjustRightInd w:val="0"/>
        <w:snapToGrid w:val="0"/>
        <w:spacing w:line="500" w:lineRule="exact"/>
        <w:ind w:firstLine="602" w:firstLineChars="200"/>
        <w:rPr>
          <w:rFonts w:ascii="Times New Roman" w:hAnsi="Times New Roman" w:eastAsia="仿宋_GB2312" w:cs="Times New Roman"/>
          <w:sz w:val="30"/>
          <w:szCs w:val="30"/>
          <w:lang w:val="zh-CN"/>
        </w:rPr>
      </w:pPr>
      <w:r>
        <w:rPr>
          <w:rFonts w:hint="eastAsia" w:ascii="Times New Roman" w:hAnsi="Times New Roman" w:eastAsia="仿宋_GB2312" w:cs="Times New Roman"/>
          <w:b/>
          <w:bCs/>
          <w:sz w:val="30"/>
          <w:szCs w:val="30"/>
        </w:rPr>
        <w:t>加强湿地公园保护与管控。</w:t>
      </w:r>
      <w:r>
        <w:rPr>
          <w:rFonts w:hint="eastAsia" w:ascii="Times New Roman" w:hAnsi="Times New Roman" w:eastAsia="仿宋_GB2312" w:cs="Times New Roman"/>
          <w:sz w:val="30"/>
          <w:szCs w:val="30"/>
          <w:lang w:val="zh-CN"/>
        </w:rPr>
        <w:t>严格执行《西藏卓玛朗措国家湿地公园管理暂行办法（试行）》、《关于加强湿地保护的意见》、《洛隆县林业自然保护区、湿地公园保护与管理工作方案》等规范性文件。针对湿地公园的管理工作特点，制定保护、科研、财务物资等管理制度及巡护员管理制度、巡护员考核办法等。层层明确岗位职责、岗位目标，严格按目标管理，建立严格和完善的管理体制，实现科学化、规范化管理。</w:t>
      </w:r>
    </w:p>
    <w:p w14:paraId="5C3B45A4">
      <w:pPr>
        <w:adjustRightInd w:val="0"/>
        <w:snapToGrid w:val="0"/>
        <w:spacing w:line="500" w:lineRule="exact"/>
        <w:ind w:firstLine="602" w:firstLineChars="200"/>
        <w:rPr>
          <w:rFonts w:ascii="Times New Roman" w:hAnsi="Times New Roman" w:eastAsia="仿宋_GB2312" w:cs="Times New Roman"/>
          <w:sz w:val="30"/>
          <w:szCs w:val="30"/>
          <w:lang w:val="zh-CN"/>
        </w:rPr>
      </w:pPr>
      <w:r>
        <w:rPr>
          <w:rFonts w:hint="eastAsia" w:ascii="Times New Roman" w:hAnsi="Times New Roman" w:eastAsia="仿宋_GB2312" w:cs="Times New Roman"/>
          <w:b/>
          <w:bCs/>
          <w:sz w:val="30"/>
          <w:szCs w:val="30"/>
        </w:rPr>
        <w:t>强化自然保护区能力建设。</w:t>
      </w:r>
      <w:r>
        <w:rPr>
          <w:rFonts w:hint="eastAsia" w:ascii="Times New Roman" w:hAnsi="Times New Roman" w:eastAsia="仿宋_GB2312" w:cs="Times New Roman"/>
          <w:sz w:val="30"/>
          <w:szCs w:val="30"/>
          <w:lang w:val="zh-CN"/>
        </w:rPr>
        <w:t>持续强化自然保护地建设，加强基础设施和能力建设，完善自然保护地巡护和监测体系，建设各类各级自然保护地“天空地一体化”监测监管网络体系。加强科研平台、教学实习基地及生态科普教育与体验基地建设，统筹推进自然保护地规范化管理，建设具有先进管理水平的自然保护地。强化自然保护地生态环境和人为活动情况的监测加强自然保护区等重点生态系统建设。</w:t>
      </w:r>
    </w:p>
    <w:p w14:paraId="68EB9365">
      <w:pPr>
        <w:spacing w:line="580" w:lineRule="exact"/>
        <w:ind w:firstLine="602" w:firstLineChars="200"/>
        <w:outlineLvl w:val="2"/>
        <w:rPr>
          <w:rFonts w:ascii="Times New Roman" w:hAnsi="Times New Roman" w:eastAsia="楷体_GB2312" w:cs="Times New Roman"/>
          <w:b/>
          <w:bCs/>
          <w:sz w:val="30"/>
          <w:szCs w:val="30"/>
        </w:rPr>
      </w:pPr>
      <w:r>
        <w:rPr>
          <w:rFonts w:hint="eastAsia" w:ascii="Times New Roman" w:hAnsi="Times New Roman" w:eastAsia="楷体_GB2312" w:cs="Times New Roman"/>
          <w:b/>
          <w:bCs/>
          <w:sz w:val="30"/>
          <w:szCs w:val="30"/>
        </w:rPr>
        <w:t>（三）持续加强野生动植物和生物多样性保护</w:t>
      </w:r>
    </w:p>
    <w:p w14:paraId="30827C55">
      <w:pPr>
        <w:adjustRightInd w:val="0"/>
        <w:snapToGrid w:val="0"/>
        <w:spacing w:line="500" w:lineRule="exact"/>
        <w:ind w:firstLine="602" w:firstLineChars="200"/>
        <w:rPr>
          <w:rFonts w:ascii="Times New Roman" w:hAnsi="Times New Roman" w:eastAsia="仿宋_GB2312" w:cs="Times New Roman"/>
          <w:sz w:val="30"/>
          <w:szCs w:val="30"/>
          <w:lang w:val="zh-CN"/>
        </w:rPr>
      </w:pPr>
      <w:r>
        <w:rPr>
          <w:rFonts w:hint="eastAsia" w:ascii="Times New Roman" w:hAnsi="Times New Roman" w:eastAsia="仿宋_GB2312" w:cs="Times New Roman"/>
          <w:b/>
          <w:bCs/>
          <w:sz w:val="30"/>
          <w:szCs w:val="30"/>
        </w:rPr>
        <w:t>开展多样性保护战略与行动。</w:t>
      </w:r>
      <w:r>
        <w:rPr>
          <w:rFonts w:hint="eastAsia" w:ascii="Times New Roman" w:hAnsi="Times New Roman" w:eastAsia="仿宋_GB2312" w:cs="Times New Roman"/>
          <w:sz w:val="30"/>
          <w:szCs w:val="30"/>
          <w:lang w:val="zh-CN"/>
        </w:rPr>
        <w:t>贯彻落实《西藏自治区生物多样性保护战略与行动计划（2013~2030年）》，开展生物多样性调查和评估。实施珍稀濒危野生动植物抢救性保护项目，加强对重点保护珍稀野生动植物种群、种质资源及其栖息地的保护。加强生物多样性就地和迁地保护，优化现有迁地保护设施布局，新建一批具有战略意义的迁地保护设施，有效保护典型生态系统、物种和遗传资源多样性，推动生物多样性保护和恢复，开展生物多样性保护与减贫示范。加大物种资源管理，开展种质资源、河流湿地水生生物资源、农作物种植资源、畜禽和药材等遗传资源本底和多样性调查，选取试点建立种质资源保存库，以国家湿地公园等为载体，健全种质资源保护利用体系。建立完善生物多样性观测评估体系、就地保护体系、用途管控体系和执法体系。</w:t>
      </w:r>
    </w:p>
    <w:p w14:paraId="18E89F46">
      <w:pPr>
        <w:adjustRightInd w:val="0"/>
        <w:snapToGrid w:val="0"/>
        <w:spacing w:line="500" w:lineRule="exact"/>
        <w:ind w:firstLine="602" w:firstLineChars="200"/>
        <w:rPr>
          <w:rFonts w:ascii="Times New Roman" w:hAnsi="Times New Roman" w:eastAsia="仿宋_GB2312" w:cs="Times New Roman"/>
          <w:sz w:val="30"/>
          <w:szCs w:val="30"/>
          <w:lang w:val="zh-CN"/>
        </w:rPr>
      </w:pPr>
      <w:r>
        <w:rPr>
          <w:rFonts w:hint="eastAsia" w:ascii="Times New Roman" w:hAnsi="Times New Roman" w:eastAsia="仿宋_GB2312" w:cs="Times New Roman"/>
          <w:b/>
          <w:bCs/>
          <w:sz w:val="30"/>
          <w:szCs w:val="30"/>
        </w:rPr>
        <w:t>加强野生动植物生境保护。</w:t>
      </w:r>
      <w:r>
        <w:rPr>
          <w:rFonts w:hint="eastAsia" w:ascii="Times New Roman" w:hAnsi="Times New Roman" w:eastAsia="仿宋_GB2312" w:cs="Times New Roman"/>
          <w:sz w:val="30"/>
          <w:szCs w:val="30"/>
          <w:lang w:val="zh-CN"/>
        </w:rPr>
        <w:t>对农牧民的放牧行为适当引导，严格控制人畜在湿地公园保育区和恢复重建区内活动，在其它区域内适度控制放牧，最大限度地保护好野生动物的栖息环境。利用先进的环境治理与恢复技术，制定合理的建设方案，对改变自然景观和利用途径的开发项目应进行环境影响评价，提供生态恢复、重建替代方案，确保湿地生物有足够的栖息、觅食和活动空间。</w:t>
      </w:r>
    </w:p>
    <w:p w14:paraId="2F330477">
      <w:pPr>
        <w:spacing w:line="580" w:lineRule="exact"/>
        <w:ind w:firstLine="602" w:firstLineChars="200"/>
        <w:outlineLvl w:val="2"/>
        <w:rPr>
          <w:rFonts w:ascii="Times New Roman" w:hAnsi="Times New Roman" w:eastAsia="楷体_GB2312" w:cs="Times New Roman"/>
          <w:b/>
          <w:bCs/>
          <w:sz w:val="30"/>
          <w:szCs w:val="30"/>
        </w:rPr>
      </w:pPr>
      <w:r>
        <w:rPr>
          <w:rFonts w:ascii="Times New Roman" w:hAnsi="Times New Roman" w:eastAsia="楷体_GB2312" w:cs="Times New Roman"/>
          <w:b/>
          <w:bCs/>
          <w:sz w:val="30"/>
          <w:szCs w:val="30"/>
        </w:rPr>
        <w:t>（</w:t>
      </w:r>
      <w:r>
        <w:rPr>
          <w:rFonts w:hint="eastAsia" w:ascii="Times New Roman" w:hAnsi="Times New Roman" w:eastAsia="楷体_GB2312" w:cs="Times New Roman"/>
          <w:b/>
          <w:bCs/>
          <w:sz w:val="30"/>
          <w:szCs w:val="30"/>
        </w:rPr>
        <w:t>三</w:t>
      </w:r>
      <w:r>
        <w:rPr>
          <w:rFonts w:ascii="Times New Roman" w:hAnsi="Times New Roman" w:eastAsia="楷体_GB2312" w:cs="Times New Roman"/>
          <w:b/>
          <w:bCs/>
          <w:sz w:val="30"/>
          <w:szCs w:val="30"/>
        </w:rPr>
        <w:t>）</w:t>
      </w:r>
      <w:r>
        <w:rPr>
          <w:rFonts w:hint="eastAsia" w:ascii="Times New Roman" w:hAnsi="Times New Roman" w:eastAsia="楷体_GB2312" w:cs="Times New Roman"/>
          <w:b/>
          <w:bCs/>
          <w:sz w:val="30"/>
          <w:szCs w:val="30"/>
        </w:rPr>
        <w:t>提升森林生态系统稳定性</w:t>
      </w:r>
    </w:p>
    <w:p w14:paraId="533F205F">
      <w:pPr>
        <w:adjustRightInd w:val="0"/>
        <w:snapToGrid w:val="0"/>
        <w:spacing w:line="500" w:lineRule="exact"/>
        <w:ind w:firstLine="602" w:firstLineChars="200"/>
        <w:rPr>
          <w:rFonts w:ascii="Times New Roman" w:hAnsi="Times New Roman" w:eastAsia="仿宋_GB2312" w:cs="Times New Roman"/>
          <w:sz w:val="30"/>
          <w:szCs w:val="30"/>
          <w:lang w:val="zh-CN"/>
        </w:rPr>
      </w:pPr>
      <w:r>
        <w:rPr>
          <w:rFonts w:hint="eastAsia" w:ascii="Times New Roman" w:hAnsi="Times New Roman" w:eastAsia="仿宋_GB2312" w:cs="Times New Roman"/>
          <w:b/>
          <w:bCs/>
          <w:sz w:val="30"/>
          <w:szCs w:val="30"/>
        </w:rPr>
        <w:t>全面保护和修复天然林</w:t>
      </w:r>
      <w:r>
        <w:rPr>
          <w:rFonts w:hint="eastAsia" w:ascii="Times New Roman" w:hAnsi="Times New Roman" w:eastAsia="仿宋_GB2312" w:cs="Times New Roman"/>
          <w:sz w:val="30"/>
          <w:szCs w:val="30"/>
        </w:rPr>
        <w:t>。</w:t>
      </w:r>
      <w:r>
        <w:rPr>
          <w:rFonts w:hint="eastAsia" w:ascii="Times New Roman" w:hAnsi="Times New Roman" w:eastAsia="仿宋_GB2312" w:cs="Times New Roman"/>
          <w:sz w:val="30"/>
          <w:szCs w:val="30"/>
          <w:lang w:val="zh-CN"/>
        </w:rPr>
        <w:t>构建以天然林为主体的健康稳定的森林生态系统，对天然林实施管护。继续落实全面停止天然林商业性采伐。根据自治区规划并结合当地实际，组织编制天然林保护修复中长期实施方案。运用近自然、多目标等现代生态系统管理理论，强化天然林中幼林抚育和森林资源培育，扩大森林面积，优化林分结构，提高森林质量，培育健康稳定优质高效的天然林。继续强化天然林管护责任制，逐步完善天然林效益监测与评估，建立监测评估制度。确保天然林面积稳定、质量提高、功能稳步提升。</w:t>
      </w:r>
    </w:p>
    <w:p w14:paraId="37C9BFDE">
      <w:pPr>
        <w:adjustRightInd w:val="0"/>
        <w:snapToGrid w:val="0"/>
        <w:spacing w:line="500" w:lineRule="exact"/>
        <w:ind w:firstLine="602" w:firstLineChars="200"/>
        <w:rPr>
          <w:rFonts w:ascii="Times New Roman" w:hAnsi="Times New Roman" w:eastAsia="仿宋_GB2312" w:cs="Times New Roman"/>
          <w:sz w:val="30"/>
          <w:szCs w:val="30"/>
          <w:lang w:val="zh-CN"/>
        </w:rPr>
      </w:pPr>
      <w:r>
        <w:rPr>
          <w:rFonts w:hint="eastAsia" w:ascii="Times New Roman" w:hAnsi="Times New Roman" w:eastAsia="仿宋_GB2312" w:cs="Times New Roman"/>
          <w:b/>
          <w:bCs/>
          <w:sz w:val="30"/>
          <w:szCs w:val="30"/>
        </w:rPr>
        <w:t>强化公益林监管。</w:t>
      </w:r>
      <w:r>
        <w:rPr>
          <w:rFonts w:hint="eastAsia" w:ascii="Times New Roman" w:hAnsi="Times New Roman" w:eastAsia="仿宋_GB2312" w:cs="Times New Roman"/>
          <w:sz w:val="30"/>
          <w:szCs w:val="30"/>
          <w:lang w:val="zh-CN"/>
        </w:rPr>
        <w:t>不断创新改革，积极推进森林生态效益补偿，依据《国家公益林区划界定办法》和《西藏自治区公益林区划界定办法》认定，继续对全县500.24万亩国家级公益林和地方公益林实施补偿。</w:t>
      </w:r>
    </w:p>
    <w:p w14:paraId="51D27BF1">
      <w:pPr>
        <w:adjustRightInd w:val="0"/>
        <w:snapToGrid w:val="0"/>
        <w:spacing w:line="500" w:lineRule="exact"/>
        <w:ind w:firstLine="602" w:firstLineChars="200"/>
        <w:rPr>
          <w:rFonts w:ascii="Times New Roman" w:hAnsi="Times New Roman" w:eastAsia="仿宋_GB2312" w:cs="Times New Roman"/>
          <w:sz w:val="30"/>
          <w:szCs w:val="30"/>
          <w:lang w:val="zh-CN"/>
        </w:rPr>
      </w:pPr>
      <w:r>
        <w:rPr>
          <w:rFonts w:hint="eastAsia" w:ascii="Times New Roman" w:hAnsi="Times New Roman" w:eastAsia="仿宋_GB2312" w:cs="Times New Roman"/>
          <w:b/>
          <w:bCs/>
          <w:sz w:val="30"/>
          <w:szCs w:val="30"/>
        </w:rPr>
        <w:t>精准提升森林质量。</w:t>
      </w:r>
      <w:r>
        <w:rPr>
          <w:rFonts w:hint="eastAsia" w:ascii="Times New Roman" w:hAnsi="Times New Roman" w:eastAsia="仿宋_GB2312" w:cs="Times New Roman"/>
          <w:sz w:val="30"/>
          <w:szCs w:val="30"/>
          <w:lang w:val="zh-CN"/>
        </w:rPr>
        <w:t>全面提升森林质量，实施森林质量精准提升工程，根据区域特点、林分结构、立地条件，分类实施，持续发挥森林的多种功能和效益。提升造林绿化质量，实施生态林景观化提升、经济林标准化提升、人工林工程化提升、重点工程规模化提升、生态治理区域化提升、生态产品公园化提升。</w:t>
      </w:r>
    </w:p>
    <w:p w14:paraId="12E9B3A8">
      <w:pPr>
        <w:spacing w:line="580" w:lineRule="exact"/>
        <w:ind w:firstLine="602" w:firstLineChars="200"/>
        <w:outlineLvl w:val="2"/>
        <w:rPr>
          <w:rFonts w:ascii="Times New Roman" w:hAnsi="Times New Roman" w:eastAsia="楷体_GB2312" w:cs="Times New Roman"/>
          <w:b/>
          <w:bCs/>
          <w:sz w:val="30"/>
          <w:szCs w:val="30"/>
        </w:rPr>
      </w:pPr>
      <w:r>
        <w:rPr>
          <w:rFonts w:hint="eastAsia" w:ascii="Times New Roman" w:hAnsi="Times New Roman" w:eastAsia="楷体_GB2312" w:cs="Times New Roman"/>
          <w:b/>
          <w:bCs/>
          <w:sz w:val="30"/>
          <w:szCs w:val="30"/>
        </w:rPr>
        <w:t>（四）全面加强草原保护和修复</w:t>
      </w:r>
    </w:p>
    <w:p w14:paraId="2A9DE51C">
      <w:pPr>
        <w:adjustRightInd w:val="0"/>
        <w:snapToGrid w:val="0"/>
        <w:spacing w:line="500" w:lineRule="exact"/>
        <w:ind w:firstLine="602" w:firstLineChars="200"/>
        <w:rPr>
          <w:rFonts w:ascii="Times New Roman" w:hAnsi="Times New Roman" w:eastAsia="仿宋_GB2312" w:cs="Times New Roman"/>
          <w:sz w:val="30"/>
          <w:szCs w:val="30"/>
          <w:lang w:val="zh-CN"/>
        </w:rPr>
      </w:pPr>
      <w:r>
        <w:rPr>
          <w:rFonts w:hint="eastAsia" w:ascii="Times New Roman" w:hAnsi="Times New Roman" w:eastAsia="仿宋_GB2312" w:cs="Times New Roman"/>
          <w:b/>
          <w:bCs/>
          <w:sz w:val="30"/>
          <w:szCs w:val="30"/>
        </w:rPr>
        <w:t>科学修复退化草原。</w:t>
      </w:r>
      <w:r>
        <w:rPr>
          <w:rFonts w:hint="eastAsia" w:ascii="Times New Roman" w:hAnsi="Times New Roman" w:eastAsia="仿宋_GB2312" w:cs="Times New Roman"/>
          <w:sz w:val="30"/>
          <w:szCs w:val="30"/>
          <w:lang w:val="zh-CN"/>
        </w:rPr>
        <w:t>坚持全面保护、系统治理、科学利用相结合，提高草原综合植被盖度和生物量，提升草原生态系统的稳定性和质量。根据草原退化情况，科学推进草原治理，编制实施草原保护修复坚持规划引领、分区施策，采取人工种草、毒害草治理、鼠虫害防治、草原围栏、引水灌溉，禁止伐术等综合措施补播，加快退化草原修复，持续改善草原生态，稳步提高草原综合植被盖度提升草原生态系统功能。实施4万亩草原生态修复治理，按不同草原类型、退化类型、退化程度等采取不同的治理措施，促进草原植被恢复，增加草原植被覆盖度，提高生物灾害绿色防控比例，重点加强退化草原修复所需乡土草种的繁育和利用，增强乡土草种的适应性和供给能力。</w:t>
      </w:r>
    </w:p>
    <w:p w14:paraId="066B3C0A">
      <w:pPr>
        <w:adjustRightInd w:val="0"/>
        <w:snapToGrid w:val="0"/>
        <w:spacing w:line="500" w:lineRule="exact"/>
        <w:ind w:firstLine="602" w:firstLineChars="200"/>
        <w:rPr>
          <w:rFonts w:ascii="Times New Roman" w:hAnsi="Times New Roman" w:eastAsia="仿宋_GB2312" w:cs="Times New Roman"/>
          <w:sz w:val="30"/>
          <w:szCs w:val="30"/>
          <w:lang w:val="zh-CN"/>
        </w:rPr>
      </w:pPr>
      <w:r>
        <w:rPr>
          <w:rFonts w:hint="eastAsia" w:ascii="Times New Roman" w:hAnsi="Times New Roman" w:eastAsia="仿宋_GB2312" w:cs="Times New Roman"/>
          <w:b/>
          <w:bCs/>
          <w:sz w:val="30"/>
          <w:szCs w:val="30"/>
        </w:rPr>
        <w:t>严格落实草畜平衡。</w:t>
      </w:r>
      <w:r>
        <w:rPr>
          <w:rFonts w:hint="eastAsia" w:ascii="Times New Roman" w:hAnsi="Times New Roman" w:eastAsia="仿宋_GB2312" w:cs="Times New Roman"/>
          <w:sz w:val="30"/>
          <w:szCs w:val="30"/>
          <w:lang w:val="zh-CN"/>
        </w:rPr>
        <w:t>以草畜平衡为基本抓手，大力开展以草定畜，严格落实《西藏自治区第三轮草原生态保护补助奖励政策实施方案(2021-2025年)》，全面加强村级草原监督员管理。全面实施禁牧休牧和草畜平衡制度，完善草原生态保护补助奖励制度，实现草原生态保护与促进牧民生产生活协同发展。实施新一轮休牧60万亩，稳定扩大退牧还草范围，合理布局草原围栏和退化草原补播改良。</w:t>
      </w:r>
    </w:p>
    <w:p w14:paraId="5AEB0F71">
      <w:pPr>
        <w:spacing w:line="580" w:lineRule="exact"/>
        <w:ind w:firstLine="602" w:firstLineChars="200"/>
        <w:outlineLvl w:val="2"/>
        <w:rPr>
          <w:rFonts w:ascii="Times New Roman" w:hAnsi="Times New Roman" w:eastAsia="楷体_GB2312" w:cs="Times New Roman"/>
          <w:b/>
          <w:bCs/>
          <w:sz w:val="30"/>
          <w:szCs w:val="30"/>
        </w:rPr>
      </w:pPr>
      <w:r>
        <w:rPr>
          <w:rFonts w:hint="eastAsia" w:ascii="Times New Roman" w:hAnsi="Times New Roman" w:eastAsia="楷体_GB2312" w:cs="Times New Roman"/>
          <w:b/>
          <w:bCs/>
          <w:sz w:val="30"/>
          <w:szCs w:val="30"/>
        </w:rPr>
        <w:t>（五）推进湿地保护高质量发展</w:t>
      </w:r>
    </w:p>
    <w:p w14:paraId="06BC4AA8">
      <w:pPr>
        <w:adjustRightInd w:val="0"/>
        <w:snapToGrid w:val="0"/>
        <w:spacing w:line="500" w:lineRule="exact"/>
        <w:ind w:firstLine="602" w:firstLineChars="200"/>
        <w:rPr>
          <w:rFonts w:ascii="Times New Roman" w:hAnsi="Times New Roman" w:eastAsia="仿宋_GB2312" w:cs="Times New Roman"/>
          <w:sz w:val="30"/>
          <w:szCs w:val="30"/>
          <w:lang w:val="zh-CN"/>
        </w:rPr>
      </w:pPr>
      <w:r>
        <w:rPr>
          <w:rFonts w:hint="eastAsia" w:ascii="Times New Roman" w:hAnsi="Times New Roman" w:eastAsia="仿宋_GB2312" w:cs="Times New Roman"/>
          <w:b/>
          <w:bCs/>
          <w:sz w:val="30"/>
          <w:szCs w:val="30"/>
        </w:rPr>
        <w:t>提升重要湿地生态功能。</w:t>
      </w:r>
      <w:r>
        <w:rPr>
          <w:rFonts w:hint="eastAsia" w:ascii="Times New Roman" w:hAnsi="Times New Roman" w:eastAsia="仿宋_GB2312" w:cs="Times New Roman"/>
          <w:sz w:val="30"/>
          <w:szCs w:val="30"/>
          <w:lang w:val="zh-CN"/>
        </w:rPr>
        <w:t>全面恢复自然湿地，采取近自然措施与综合治理相结合，增强湿地生态系统自我修复能力，开展重点区域湿地自然恢复，提升湿地生态功能。加强恢复湿地水资源保障，防止湿地退化反复。开展湿地可持续利用示范建设和湿地生态效益补偿，持续加大湿地宣传力度，引导公众认识湿地，参与到湿地保护中。实施湿地修复工程，重点加强卓玛朗措、巴洞措等高山湖泊湿地的生态修复，开展退牧（圩）还草（湖），实施滨岸生态修复，有效遏制自然湿地萎缩和河湖生态功能下降趋势。</w:t>
      </w:r>
    </w:p>
    <w:p w14:paraId="0088B207">
      <w:pPr>
        <w:adjustRightInd w:val="0"/>
        <w:snapToGrid w:val="0"/>
        <w:spacing w:line="500" w:lineRule="exact"/>
        <w:ind w:firstLine="602" w:firstLineChars="200"/>
        <w:rPr>
          <w:rFonts w:ascii="Times New Roman" w:hAnsi="Times New Roman" w:eastAsia="仿宋_GB2312" w:cs="Times New Roman"/>
          <w:sz w:val="30"/>
          <w:szCs w:val="30"/>
        </w:rPr>
      </w:pPr>
      <w:r>
        <w:rPr>
          <w:rFonts w:hint="eastAsia" w:ascii="Times New Roman" w:hAnsi="Times New Roman" w:eastAsia="仿宋_GB2312" w:cs="Times New Roman"/>
          <w:b/>
          <w:bCs/>
          <w:sz w:val="30"/>
          <w:szCs w:val="30"/>
        </w:rPr>
        <w:t>全面保护自然湿地</w:t>
      </w:r>
      <w:r>
        <w:rPr>
          <w:rFonts w:hint="eastAsia" w:ascii="Times New Roman" w:hAnsi="Times New Roman" w:eastAsia="仿宋_GB2312" w:cs="Times New Roman"/>
          <w:sz w:val="30"/>
          <w:szCs w:val="30"/>
        </w:rPr>
        <w:t>。</w:t>
      </w:r>
      <w:r>
        <w:rPr>
          <w:rFonts w:hint="eastAsia" w:ascii="Times New Roman" w:hAnsi="Times New Roman" w:eastAsia="仿宋_GB2312" w:cs="Times New Roman"/>
          <w:sz w:val="30"/>
          <w:szCs w:val="30"/>
          <w:lang w:val="zh-CN"/>
        </w:rPr>
        <w:t>减轻人为干扰，防止湿地资源过度开发利用，维护湿地生物多样性。开展湿地保护与修复工程成效监测评估、湿地补助项目成效监测评估，完善国家湿地公园信息管理体系、重要湿地实施智慧监测能力体系建设。根据资金安排，通过污染治理、水系连通、地形地貌修复、植被恢复、栖息地恢复和外来有害生物防控等措施，开展西藏洛隆卓玛朗措国家湿地公园保护和恢复工程。全面加强小微湿地保护和修复，有机融合乡村振兴，积极推进乡村小微湿地保护示范建设，逐步恢复小微湿地自然状态。</w:t>
      </w:r>
    </w:p>
    <w:p w14:paraId="1722635A">
      <w:pPr>
        <w:spacing w:line="580" w:lineRule="exact"/>
        <w:ind w:firstLine="602" w:firstLineChars="200"/>
        <w:outlineLvl w:val="2"/>
        <w:rPr>
          <w:rFonts w:ascii="Times New Roman" w:hAnsi="Times New Roman" w:eastAsia="楷体_GB2312" w:cs="Times New Roman"/>
          <w:b/>
          <w:bCs/>
          <w:sz w:val="30"/>
          <w:szCs w:val="30"/>
        </w:rPr>
      </w:pPr>
      <w:r>
        <w:rPr>
          <w:rFonts w:hint="eastAsia" w:ascii="Times New Roman" w:hAnsi="Times New Roman" w:eastAsia="楷体_GB2312" w:cs="Times New Roman"/>
          <w:b/>
          <w:bCs/>
          <w:sz w:val="30"/>
          <w:szCs w:val="30"/>
        </w:rPr>
        <w:t>（六）统筹推进荒漠化综合治理</w:t>
      </w:r>
    </w:p>
    <w:p w14:paraId="1D4A3F00">
      <w:pPr>
        <w:adjustRightInd w:val="0"/>
        <w:snapToGrid w:val="0"/>
        <w:spacing w:line="500" w:lineRule="exact"/>
        <w:ind w:firstLine="602" w:firstLineChars="200"/>
        <w:rPr>
          <w:rFonts w:ascii="Times New Roman" w:hAnsi="Times New Roman" w:eastAsia="仿宋_GB2312" w:cs="Times New Roman"/>
          <w:sz w:val="30"/>
          <w:szCs w:val="30"/>
        </w:rPr>
      </w:pPr>
      <w:r>
        <w:rPr>
          <w:rFonts w:hint="eastAsia" w:ascii="Times New Roman" w:hAnsi="Times New Roman" w:eastAsia="仿宋_GB2312" w:cs="Times New Roman"/>
          <w:b/>
          <w:bCs/>
          <w:sz w:val="30"/>
          <w:szCs w:val="30"/>
        </w:rPr>
        <w:t>加强沙化土地治理封禁保护。</w:t>
      </w:r>
      <w:r>
        <w:rPr>
          <w:rFonts w:hint="eastAsia" w:ascii="Times New Roman" w:hAnsi="Times New Roman" w:eastAsia="仿宋_GB2312" w:cs="Times New Roman"/>
          <w:sz w:val="30"/>
          <w:szCs w:val="30"/>
          <w:lang w:val="zh-CN"/>
        </w:rPr>
        <w:t>坚持保护优先，以自然恢复为主，严格保护荒漠天然植被，维护地表原生状态，创造自然修复生态条件。开展综合治理后继续实施封禁保护，针对性实施重要节点工程治理、围栏封禁，提升治理质量。</w:t>
      </w:r>
    </w:p>
    <w:p w14:paraId="445FB708">
      <w:pPr>
        <w:adjustRightInd w:val="0"/>
        <w:snapToGrid w:val="0"/>
        <w:spacing w:line="500" w:lineRule="exact"/>
        <w:ind w:firstLine="602" w:firstLineChars="200"/>
        <w:rPr>
          <w:rFonts w:ascii="Times New Roman" w:hAnsi="Times New Roman" w:eastAsia="仿宋_GB2312" w:cs="Times New Roman"/>
          <w:sz w:val="30"/>
          <w:szCs w:val="30"/>
          <w:lang w:val="zh-CN"/>
        </w:rPr>
      </w:pPr>
      <w:r>
        <w:rPr>
          <w:rFonts w:hint="eastAsia" w:ascii="Times New Roman" w:hAnsi="Times New Roman" w:eastAsia="仿宋_GB2312" w:cs="Times New Roman"/>
          <w:b/>
          <w:bCs/>
          <w:sz w:val="30"/>
          <w:szCs w:val="30"/>
        </w:rPr>
        <w:t>科学系统推进防沙治沙。</w:t>
      </w:r>
      <w:r>
        <w:rPr>
          <w:rFonts w:hint="eastAsia" w:ascii="Times New Roman" w:hAnsi="Times New Roman" w:eastAsia="仿宋_GB2312" w:cs="Times New Roman"/>
          <w:sz w:val="30"/>
          <w:szCs w:val="30"/>
          <w:lang w:val="zh-CN"/>
        </w:rPr>
        <w:t>强化监测工作，摸清荒漠化、沙化土地现状和变化情况。在全面保护沙区植被、巩固好防治成果的基础上，科学编制防沙治沙规划，通过以乔灌草植被恢复重建为核心的综合防治措施，逐步治理县域内沙化土地，显著减轻土地沙化区域农林牧业生产的危害，促进生态环境逐渐进入良性循环。</w:t>
      </w:r>
    </w:p>
    <w:p w14:paraId="26FD8FCD">
      <w:pPr>
        <w:spacing w:line="580" w:lineRule="exact"/>
        <w:ind w:firstLine="602" w:firstLineChars="200"/>
        <w:outlineLvl w:val="2"/>
        <w:rPr>
          <w:rFonts w:ascii="Times New Roman" w:hAnsi="Times New Roman" w:eastAsia="楷体_GB2312" w:cs="Times New Roman"/>
          <w:b/>
          <w:bCs/>
          <w:sz w:val="30"/>
          <w:szCs w:val="30"/>
        </w:rPr>
      </w:pPr>
      <w:r>
        <w:rPr>
          <w:rFonts w:hint="eastAsia" w:ascii="Times New Roman" w:hAnsi="Times New Roman" w:eastAsia="楷体_GB2312" w:cs="Times New Roman"/>
          <w:b/>
          <w:bCs/>
          <w:sz w:val="30"/>
          <w:szCs w:val="30"/>
        </w:rPr>
        <w:t>（七）加强水土流失、矿山和地灾治理</w:t>
      </w:r>
    </w:p>
    <w:p w14:paraId="68827E31">
      <w:pPr>
        <w:adjustRightInd w:val="0"/>
        <w:snapToGrid w:val="0"/>
        <w:spacing w:line="500" w:lineRule="exact"/>
        <w:ind w:firstLine="602" w:firstLineChars="200"/>
        <w:rPr>
          <w:rFonts w:ascii="Times New Roman" w:hAnsi="Times New Roman" w:eastAsia="仿宋_GB2312" w:cs="Times New Roman"/>
          <w:sz w:val="30"/>
          <w:szCs w:val="30"/>
          <w:lang w:val="zh-CN"/>
        </w:rPr>
      </w:pPr>
      <w:r>
        <w:rPr>
          <w:rFonts w:hint="eastAsia" w:ascii="Times New Roman" w:hAnsi="Times New Roman" w:eastAsia="仿宋_GB2312" w:cs="Times New Roman"/>
          <w:b/>
          <w:bCs/>
          <w:sz w:val="30"/>
          <w:szCs w:val="30"/>
          <w:lang w:val="zh-CN"/>
        </w:rPr>
        <w:t>加强水土流失治理。</w:t>
      </w:r>
      <w:r>
        <w:rPr>
          <w:rFonts w:hint="eastAsia" w:ascii="Times New Roman" w:hAnsi="Times New Roman" w:eastAsia="仿宋_GB2312" w:cs="Times New Roman"/>
          <w:sz w:val="30"/>
          <w:szCs w:val="30"/>
          <w:lang w:val="zh-CN"/>
        </w:rPr>
        <w:t>推进河流综合治理和生态修复工程，加强对怒江、卓玛朗措河、洞措曲和巴曲等河流修复治理，统筹规划沿河岸线资源，实施自然岸线整治与修复，综合运用截污治污、河流清淤、生物控制等措施，恢复河流行蓄能力，推进河流治理。开展全域山体、河流、湿地、绿地、草地、林地等自然生态受损情况排查，全面修复水土流失、工程创面等区域植被。以小流域和小区域为单元，系统推进水土流失综合治理，治理康沙镇水土流失面积60平方公里，治理多则曲小流域水土流失面积42平方公里。全力配合好川藏铁路洛隆段建设中的临河设施建设及相关水土保持工作。</w:t>
      </w:r>
    </w:p>
    <w:p w14:paraId="71300C05">
      <w:pPr>
        <w:adjustRightInd w:val="0"/>
        <w:snapToGrid w:val="0"/>
        <w:spacing w:line="500" w:lineRule="exact"/>
        <w:ind w:firstLine="602" w:firstLineChars="200"/>
        <w:rPr>
          <w:rFonts w:ascii="Times New Roman" w:hAnsi="Times New Roman" w:eastAsia="仿宋_GB2312" w:cs="Times New Roman"/>
          <w:sz w:val="30"/>
          <w:szCs w:val="30"/>
          <w:lang w:val="zh-CN"/>
        </w:rPr>
      </w:pPr>
      <w:r>
        <w:rPr>
          <w:rFonts w:hint="eastAsia" w:ascii="Times New Roman" w:hAnsi="Times New Roman" w:eastAsia="仿宋_GB2312" w:cs="Times New Roman"/>
          <w:b/>
          <w:bCs/>
          <w:sz w:val="30"/>
          <w:szCs w:val="30"/>
          <w:lang w:val="zh-CN"/>
        </w:rPr>
        <w:t>加强矿产资源开发保护治理。</w:t>
      </w:r>
      <w:r>
        <w:rPr>
          <w:rFonts w:hint="eastAsia" w:ascii="Times New Roman" w:hAnsi="Times New Roman" w:eastAsia="仿宋_GB2312" w:cs="Times New Roman"/>
          <w:sz w:val="30"/>
          <w:szCs w:val="30"/>
          <w:lang w:val="zh-CN"/>
        </w:rPr>
        <w:t>因地制宜，突出重点发展砂石矿、石灰岩等县内具有较大优势的主导矿产。规范矿产资源开发利用，落实好洛隆县夏果矿区建筑用砂（卵石类）矿、硕督矿区建筑用砂（卵石类）矿2宗矿业权采矿权许可证，加强矿产资源执法检查。加快推进资源利用方式转变，切实提高资源利用效率。引进先进生产设备和生产工艺，加强资源节约利用和综合利用。全县新建矿山的“三率”指标达到开发利用方案要求，“三率”达标率90%，积极推进绿色矿山建设，由点带面，推动全县发展绿色矿业，建设绿色矿业示范区。到2025年，矿山环境保护取得明显效果，新建矿山的矿山地质环境得到全面治理，毁损土地全面得到复垦利用，植被得到恢复，矿产资源开发与生态环境保护步入良性循环的轨道。</w:t>
      </w:r>
    </w:p>
    <w:p w14:paraId="5B49FD12">
      <w:pPr>
        <w:adjustRightInd w:val="0"/>
        <w:snapToGrid w:val="0"/>
        <w:spacing w:line="500" w:lineRule="exact"/>
        <w:ind w:firstLine="602" w:firstLineChars="200"/>
        <w:rPr>
          <w:rFonts w:ascii="Times New Roman" w:hAnsi="Times New Roman" w:eastAsia="仿宋_GB2312" w:cs="Times New Roman"/>
          <w:sz w:val="30"/>
          <w:szCs w:val="30"/>
          <w:lang w:val="zh-CN"/>
        </w:rPr>
      </w:pPr>
      <w:r>
        <w:rPr>
          <w:rFonts w:hint="eastAsia" w:ascii="Times New Roman" w:hAnsi="Times New Roman" w:eastAsia="仿宋_GB2312" w:cs="Times New Roman"/>
          <w:b/>
          <w:bCs/>
          <w:sz w:val="30"/>
          <w:szCs w:val="30"/>
          <w:lang w:val="zh-CN"/>
        </w:rPr>
        <w:t>实施历史遗留矿山地质环境恢复治理。</w:t>
      </w:r>
      <w:r>
        <w:rPr>
          <w:rFonts w:hint="eastAsia" w:ascii="Times New Roman" w:hAnsi="Times New Roman" w:eastAsia="仿宋_GB2312" w:cs="Times New Roman"/>
          <w:sz w:val="30"/>
          <w:szCs w:val="30"/>
          <w:lang w:val="zh-CN"/>
        </w:rPr>
        <w:t>积极推进矿山地质环境恢复治理，解决历史遗留的矿山环境受损问题，矿山破坏区域得到全面恢复治理、毁损土地得到全面修复复垦利用，整体上改善矿区生态环境，恢复矿区生态平衡，治理面积7.6公顷。</w:t>
      </w:r>
    </w:p>
    <w:p w14:paraId="407E930D">
      <w:pPr>
        <w:adjustRightInd w:val="0"/>
        <w:snapToGrid w:val="0"/>
        <w:spacing w:line="500" w:lineRule="exact"/>
        <w:ind w:firstLine="602" w:firstLineChars="200"/>
        <w:rPr>
          <w:rFonts w:ascii="Times New Roman" w:hAnsi="Times New Roman" w:eastAsia="仿宋_GB2312" w:cs="Times New Roman"/>
          <w:sz w:val="30"/>
          <w:szCs w:val="30"/>
          <w:lang w:val="zh-CN"/>
        </w:rPr>
      </w:pPr>
      <w:r>
        <w:rPr>
          <w:rFonts w:hint="eastAsia" w:ascii="Times New Roman" w:hAnsi="Times New Roman" w:eastAsia="仿宋_GB2312" w:cs="Times New Roman"/>
          <w:b/>
          <w:bCs/>
          <w:sz w:val="30"/>
          <w:szCs w:val="30"/>
          <w:lang w:val="zh-CN"/>
        </w:rPr>
        <w:t>开展地质灾害防治。</w:t>
      </w:r>
      <w:r>
        <w:rPr>
          <w:rFonts w:hint="eastAsia" w:ascii="Times New Roman" w:hAnsi="Times New Roman" w:eastAsia="仿宋_GB2312" w:cs="Times New Roman"/>
          <w:sz w:val="30"/>
          <w:szCs w:val="30"/>
          <w:lang w:val="zh-CN"/>
        </w:rPr>
        <w:t>将居住在危险程度高、治理难度大、治理效益差的地质灾害危险区的居民登记造册，并按照“政府主导，群众自愿，整合资源，分步实施”的原则，采取集中或分散、就近或易地、自建或购房等方式，结合易地扶贫搬迁、农村危房改造、移民避险解困、因灾倒损民房恢复重建、新农村建设、城镇建设、土地综合整治等相关政策，统筹安排资金，按轻重缓急实施搬迁避让。对由自然因素引发、成灾可能性大、危险程度高以及人为因素引发但责任主体已灭失的地质灾害隐患，由县级人民政府委托技术单位开展技术鉴定，按照安全可靠、科学经济、环境协调的原则制定治理方案，实施工程治理，及时消除隐患。</w:t>
      </w:r>
    </w:p>
    <w:p w14:paraId="52DC28B2">
      <w:pPr>
        <w:spacing w:line="580" w:lineRule="exact"/>
        <w:jc w:val="center"/>
        <w:outlineLvl w:val="1"/>
        <w:rPr>
          <w:rFonts w:ascii="Times New Roman" w:hAnsi="Times New Roman" w:eastAsia="黑体" w:cs="Times New Roman"/>
          <w:bCs/>
          <w:sz w:val="32"/>
          <w:szCs w:val="32"/>
        </w:rPr>
      </w:pPr>
      <w:bookmarkStart w:id="143" w:name="_Toc26505"/>
      <w:bookmarkStart w:id="144" w:name="_Toc102080577"/>
      <w:bookmarkStart w:id="145" w:name="_Toc100304755"/>
      <w:r>
        <w:rPr>
          <w:rFonts w:hint="eastAsia" w:ascii="Times New Roman" w:hAnsi="Times New Roman" w:eastAsia="黑体" w:cs="Times New Roman"/>
          <w:bCs/>
          <w:sz w:val="32"/>
          <w:szCs w:val="32"/>
        </w:rPr>
        <w:t>第二节  持续推进节能降碳、积极应对气候变化</w:t>
      </w:r>
      <w:bookmarkEnd w:id="143"/>
      <w:bookmarkEnd w:id="144"/>
      <w:bookmarkEnd w:id="145"/>
    </w:p>
    <w:p w14:paraId="63121FBC">
      <w:pPr>
        <w:spacing w:line="580" w:lineRule="exact"/>
        <w:ind w:firstLine="602" w:firstLineChars="200"/>
        <w:outlineLvl w:val="2"/>
        <w:rPr>
          <w:rFonts w:ascii="Times New Roman" w:hAnsi="Times New Roman" w:eastAsia="楷体_GB2312" w:cs="Times New Roman"/>
          <w:b/>
          <w:bCs/>
          <w:sz w:val="30"/>
          <w:szCs w:val="30"/>
          <w:lang w:val="zh-CN"/>
        </w:rPr>
      </w:pPr>
      <w:r>
        <w:rPr>
          <w:rFonts w:hint="eastAsia" w:ascii="Times New Roman" w:hAnsi="Times New Roman" w:eastAsia="楷体_GB2312" w:cs="Times New Roman"/>
          <w:b/>
          <w:bCs/>
          <w:sz w:val="30"/>
          <w:szCs w:val="30"/>
          <w:lang w:val="zh-CN"/>
        </w:rPr>
        <w:t>（</w:t>
      </w:r>
      <w:r>
        <w:rPr>
          <w:rFonts w:hint="eastAsia" w:ascii="Times New Roman" w:hAnsi="Times New Roman" w:eastAsia="楷体_GB2312" w:cs="Times New Roman"/>
          <w:b/>
          <w:bCs/>
          <w:sz w:val="30"/>
          <w:szCs w:val="30"/>
        </w:rPr>
        <w:t>一</w:t>
      </w:r>
      <w:r>
        <w:rPr>
          <w:rFonts w:hint="eastAsia" w:ascii="Times New Roman" w:hAnsi="Times New Roman" w:eastAsia="楷体_GB2312" w:cs="Times New Roman"/>
          <w:b/>
          <w:bCs/>
          <w:sz w:val="30"/>
          <w:szCs w:val="30"/>
          <w:lang w:val="zh-CN"/>
        </w:rPr>
        <w:t>）</w:t>
      </w:r>
      <w:r>
        <w:rPr>
          <w:rFonts w:ascii="Times New Roman" w:hAnsi="Times New Roman" w:eastAsia="楷体_GB2312" w:cs="Times New Roman"/>
          <w:b/>
          <w:bCs/>
          <w:sz w:val="30"/>
          <w:szCs w:val="30"/>
          <w:lang w:val="zh-CN"/>
        </w:rPr>
        <w:t>推进低碳产业体系建设，鼓励低碳化发展</w:t>
      </w:r>
    </w:p>
    <w:p w14:paraId="49585ECA">
      <w:pPr>
        <w:adjustRightInd w:val="0"/>
        <w:snapToGrid w:val="0"/>
        <w:spacing w:line="500" w:lineRule="exact"/>
        <w:ind w:firstLine="600" w:firstLineChars="200"/>
        <w:rPr>
          <w:rFonts w:ascii="Times New Roman" w:hAnsi="Times New Roman" w:eastAsia="仿宋_GB2312" w:cs="Times New Roman"/>
          <w:sz w:val="30"/>
          <w:szCs w:val="30"/>
          <w:lang w:val="zh-CN"/>
        </w:rPr>
      </w:pPr>
      <w:r>
        <w:rPr>
          <w:rFonts w:hint="eastAsia" w:ascii="Times New Roman" w:hAnsi="Times New Roman" w:eastAsia="仿宋_GB2312" w:cs="Times New Roman"/>
          <w:sz w:val="30"/>
          <w:szCs w:val="30"/>
          <w:lang w:val="zh-CN"/>
        </w:rPr>
        <w:t>开展“光伏+储能”试点，促进“水风光储”一体化多能互补，打造国家级大型水风光储示范基地要求，依托洛隆县丰富的河谷水能、高原光能资源，坚持水电、太阳能发电等清洁能源并举，集中式电站群和分布式能源点并重，积极开发水电和光伏电，建成自治区光伏电示范县和水电开发后备基地。积极推广应用节能控制技术，进一步降低洛隆县单位工业增加值二氧化碳排放量，降低化肥用量，提高全县森林覆盖率和中心城区建成区绿地。推进峰值目标、达峰路线图研究工作，优化产业布局、减少高耗能产业比重、推进产业创新的同时，积极调整能源结构、发展可再生能源、支持资源循环利用，有序开展碳核算、清单编制等工作，对昌都市减排达峰进行全方位的支持。</w:t>
      </w:r>
    </w:p>
    <w:p w14:paraId="5E395003">
      <w:pPr>
        <w:spacing w:line="580" w:lineRule="exact"/>
        <w:ind w:firstLine="602" w:firstLineChars="200"/>
        <w:outlineLvl w:val="2"/>
        <w:rPr>
          <w:rFonts w:ascii="Times New Roman" w:hAnsi="Times New Roman" w:eastAsia="楷体_GB2312" w:cs="Times New Roman"/>
          <w:b/>
          <w:bCs/>
          <w:sz w:val="30"/>
          <w:szCs w:val="30"/>
        </w:rPr>
      </w:pPr>
      <w:r>
        <w:rPr>
          <w:rFonts w:hint="eastAsia" w:ascii="Times New Roman" w:hAnsi="Times New Roman" w:eastAsia="楷体_GB2312" w:cs="Times New Roman"/>
          <w:b/>
          <w:bCs/>
          <w:sz w:val="30"/>
          <w:szCs w:val="30"/>
          <w:lang w:val="zh-CN"/>
        </w:rPr>
        <w:t>（</w:t>
      </w:r>
      <w:r>
        <w:rPr>
          <w:rFonts w:hint="eastAsia" w:ascii="Times New Roman" w:hAnsi="Times New Roman" w:eastAsia="楷体_GB2312" w:cs="Times New Roman"/>
          <w:b/>
          <w:bCs/>
          <w:sz w:val="30"/>
          <w:szCs w:val="30"/>
        </w:rPr>
        <w:t>二</w:t>
      </w:r>
      <w:r>
        <w:rPr>
          <w:rFonts w:hint="eastAsia" w:ascii="Times New Roman" w:hAnsi="Times New Roman" w:eastAsia="楷体_GB2312" w:cs="Times New Roman"/>
          <w:b/>
          <w:bCs/>
          <w:sz w:val="30"/>
          <w:szCs w:val="30"/>
          <w:lang w:val="zh-CN"/>
        </w:rPr>
        <w:t>）</w:t>
      </w:r>
      <w:r>
        <w:rPr>
          <w:rFonts w:hint="eastAsia" w:ascii="Times New Roman" w:hAnsi="Times New Roman" w:eastAsia="楷体_GB2312" w:cs="Times New Roman"/>
          <w:b/>
          <w:bCs/>
          <w:sz w:val="30"/>
          <w:szCs w:val="30"/>
        </w:rPr>
        <w:t>加强重点领域的节能降碳工作</w:t>
      </w:r>
    </w:p>
    <w:p w14:paraId="57BF5AC1">
      <w:pPr>
        <w:adjustRightInd w:val="0"/>
        <w:snapToGrid w:val="0"/>
        <w:spacing w:line="500" w:lineRule="exact"/>
        <w:ind w:firstLine="600" w:firstLineChars="200"/>
        <w:rPr>
          <w:rFonts w:ascii="Times New Roman" w:hAnsi="Times New Roman" w:eastAsia="仿宋_GB2312" w:cs="Times New Roman"/>
          <w:sz w:val="30"/>
          <w:szCs w:val="30"/>
          <w:lang w:val="zh-CN"/>
        </w:rPr>
      </w:pPr>
      <w:r>
        <w:rPr>
          <w:rFonts w:hint="eastAsia" w:ascii="Times New Roman" w:hAnsi="Times New Roman" w:eastAsia="仿宋_GB2312" w:cs="Times New Roman"/>
          <w:sz w:val="30"/>
          <w:szCs w:val="30"/>
          <w:lang w:val="zh-CN"/>
        </w:rPr>
        <w:t>优化农村能源供给结构，因地制宜推动规模化沼气、生物质炉、太阳能利用、节能灶等清洁能源基础设施建设，鼓励农牧区使用太阳能、风能等清洁能源，推进农村能源消费升级。结合牧民定居点、幸福美丽新村建设，推动分布式能源设施建设。加快小型农机装备建设，加强机电灌溉设施改造和新建，推进太阳能光伏提灌建设，增加病虫防治无人机等科技装备。参照《西藏自治区民用建筑节能设计标准》（DBJ540001-2016），力争新建居住建筑和公共建筑全面实施节能设计标准。在各类新建建筑、既有建筑节能改造项目中优先使用获得评价标识的绿色建材，积极推广应用型外墙保温墙材。在城市公共交通领域加大节能和新能源车辆推广应用力度，持续提高新能源汽车比重。持续保持全县使用公共交通、电动车、步行等绿色方式出行的人次占交通出行总人次的比例≥50%。</w:t>
      </w:r>
    </w:p>
    <w:p w14:paraId="63098BE2">
      <w:pPr>
        <w:spacing w:line="580" w:lineRule="exact"/>
        <w:ind w:firstLine="602" w:firstLineChars="200"/>
        <w:outlineLvl w:val="2"/>
        <w:rPr>
          <w:rFonts w:ascii="Times New Roman" w:hAnsi="Times New Roman" w:eastAsia="楷体_GB2312" w:cs="Times New Roman"/>
          <w:b/>
          <w:bCs/>
          <w:sz w:val="30"/>
          <w:szCs w:val="30"/>
        </w:rPr>
      </w:pPr>
      <w:r>
        <w:rPr>
          <w:rFonts w:hint="eastAsia" w:ascii="Times New Roman" w:hAnsi="Times New Roman" w:eastAsia="楷体_GB2312" w:cs="Times New Roman"/>
          <w:b/>
          <w:bCs/>
          <w:sz w:val="30"/>
          <w:szCs w:val="30"/>
        </w:rPr>
        <w:t>（三）</w:t>
      </w:r>
      <w:r>
        <w:rPr>
          <w:rFonts w:ascii="Times New Roman" w:hAnsi="Times New Roman" w:eastAsia="楷体_GB2312" w:cs="Times New Roman"/>
          <w:b/>
          <w:bCs/>
          <w:sz w:val="30"/>
          <w:szCs w:val="30"/>
        </w:rPr>
        <w:t>强化温室气体排放控制</w:t>
      </w:r>
    </w:p>
    <w:p w14:paraId="00483AEA">
      <w:pPr>
        <w:adjustRightInd w:val="0"/>
        <w:snapToGrid w:val="0"/>
        <w:spacing w:line="500" w:lineRule="exact"/>
        <w:ind w:firstLine="600" w:firstLineChars="200"/>
        <w:rPr>
          <w:rFonts w:ascii="Times New Roman" w:hAnsi="Times New Roman" w:eastAsia="仿宋_GB2312" w:cs="Times New Roman"/>
          <w:sz w:val="30"/>
          <w:szCs w:val="30"/>
          <w:lang w:val="zh-CN"/>
        </w:rPr>
      </w:pPr>
      <w:r>
        <w:rPr>
          <w:rFonts w:hint="eastAsia" w:ascii="Times New Roman" w:hAnsi="Times New Roman" w:eastAsia="仿宋_GB2312" w:cs="Times New Roman"/>
          <w:sz w:val="30"/>
          <w:szCs w:val="30"/>
          <w:lang w:val="zh-CN"/>
        </w:rPr>
        <w:t>建立完善应对气候变化工作协调等机制。推进实施“清洁替代、电能替代”工程，减少燃煤烧柴，促进清洁能源和可再生能源消纳。通过给予财政补贴、表彰等方式鼓励企业使用清洁能源、提高能源使用效率。对新上项目提高准入门槛，遏制新的污染源。推进化肥减量增效和有机肥替代化肥。到2025年，单位地区生产总值二氧化碳排放比2020年下降7％，非化石能源消费比重达到48％左右，达到上级下达的目标考核要求。</w:t>
      </w:r>
    </w:p>
    <w:p w14:paraId="6E08E65E">
      <w:pPr>
        <w:spacing w:line="580" w:lineRule="exact"/>
        <w:ind w:firstLine="602" w:firstLineChars="200"/>
        <w:outlineLvl w:val="2"/>
        <w:rPr>
          <w:rFonts w:ascii="Times New Roman" w:hAnsi="Times New Roman" w:eastAsia="楷体_GB2312" w:cs="Times New Roman"/>
          <w:b/>
          <w:bCs/>
          <w:sz w:val="30"/>
          <w:szCs w:val="30"/>
          <w:lang w:val="zh-CN"/>
        </w:rPr>
      </w:pPr>
      <w:bookmarkStart w:id="146" w:name="_Toc18565"/>
      <w:bookmarkStart w:id="147" w:name="_Toc23769"/>
      <w:bookmarkStart w:id="148" w:name="_Toc27628"/>
      <w:r>
        <w:rPr>
          <w:rFonts w:hint="eastAsia" w:ascii="Times New Roman" w:hAnsi="Times New Roman" w:eastAsia="楷体_GB2312" w:cs="Times New Roman"/>
          <w:b/>
          <w:bCs/>
          <w:sz w:val="30"/>
          <w:szCs w:val="30"/>
          <w:lang w:val="zh-CN"/>
        </w:rPr>
        <w:t>（</w:t>
      </w:r>
      <w:r>
        <w:rPr>
          <w:rFonts w:hint="eastAsia" w:ascii="Times New Roman" w:hAnsi="Times New Roman" w:eastAsia="楷体_GB2312" w:cs="Times New Roman"/>
          <w:b/>
          <w:bCs/>
          <w:sz w:val="30"/>
          <w:szCs w:val="30"/>
        </w:rPr>
        <w:t>四</w:t>
      </w:r>
      <w:r>
        <w:rPr>
          <w:rFonts w:hint="eastAsia" w:ascii="Times New Roman" w:hAnsi="Times New Roman" w:eastAsia="楷体_GB2312" w:cs="Times New Roman"/>
          <w:b/>
          <w:bCs/>
          <w:sz w:val="30"/>
          <w:szCs w:val="30"/>
          <w:lang w:val="zh-CN"/>
        </w:rPr>
        <w:t>）推进林草碳汇行动</w:t>
      </w:r>
    </w:p>
    <w:p w14:paraId="667A894D">
      <w:pPr>
        <w:adjustRightInd w:val="0"/>
        <w:snapToGrid w:val="0"/>
        <w:spacing w:line="500" w:lineRule="exact"/>
        <w:ind w:firstLine="600" w:firstLineChars="200"/>
        <w:rPr>
          <w:rFonts w:ascii="Times New Roman" w:hAnsi="Times New Roman" w:eastAsia="仿宋_GB2312" w:cs="Times New Roman"/>
          <w:sz w:val="30"/>
          <w:szCs w:val="30"/>
          <w:lang w:val="zh-CN"/>
        </w:rPr>
      </w:pPr>
      <w:r>
        <w:rPr>
          <w:rFonts w:hint="eastAsia" w:ascii="Times New Roman" w:hAnsi="Times New Roman" w:eastAsia="仿宋_GB2312" w:cs="Times New Roman"/>
          <w:sz w:val="30"/>
          <w:szCs w:val="30"/>
          <w:lang w:val="zh-CN"/>
        </w:rPr>
        <w:t>科学评估林草碳汇能力，以持续增加林草碳汇为目标，开展大规模国土绿化行动，持续实施重点工程。推广发展生物质能源，积极推进以增加碳汇为主要目标的可持续经营活动。完善林草碳汇计量监测体系，推动林草碳汇交易，鼓励社会资本参与林草碳汇建设。提高森林、草地、湿地固碳能力，构建绿色碳汇体系。提升草原碳蓄积能力，限制过度放牧、实行草场改良、推行划区轮牧、治理土壤沙化，实现退牧还草、草畜平衡，从植被地上生物量和土壤质量加强草地生态系统碳库的积累。加大湿地固碳强度，严格控制滩涂等自然湿地开发占用，加强重要湿地名录管理，积极开展天然湿地恢复和人工湿地建设。</w:t>
      </w:r>
    </w:p>
    <w:p w14:paraId="05F23F72">
      <w:pPr>
        <w:spacing w:line="580" w:lineRule="exact"/>
        <w:ind w:firstLine="602" w:firstLineChars="200"/>
        <w:outlineLvl w:val="2"/>
        <w:rPr>
          <w:rFonts w:ascii="Times New Roman" w:hAnsi="Times New Roman" w:eastAsia="楷体_GB2312" w:cs="Times New Roman"/>
          <w:b/>
          <w:bCs/>
          <w:sz w:val="30"/>
          <w:szCs w:val="30"/>
        </w:rPr>
      </w:pPr>
      <w:bookmarkStart w:id="149" w:name="_Toc28488"/>
      <w:bookmarkStart w:id="150" w:name="_Toc22043"/>
      <w:bookmarkStart w:id="151" w:name="_Toc10874"/>
      <w:bookmarkStart w:id="152" w:name="_Toc11678"/>
      <w:bookmarkStart w:id="153" w:name="_Toc29051"/>
      <w:r>
        <w:rPr>
          <w:rFonts w:hint="eastAsia" w:ascii="Times New Roman" w:hAnsi="Times New Roman" w:eastAsia="楷体_GB2312" w:cs="Times New Roman"/>
          <w:b/>
          <w:bCs/>
          <w:sz w:val="30"/>
          <w:szCs w:val="30"/>
        </w:rPr>
        <w:t>（五）</w:t>
      </w:r>
      <w:r>
        <w:rPr>
          <w:rFonts w:ascii="Times New Roman" w:hAnsi="Times New Roman" w:eastAsia="楷体_GB2312" w:cs="Times New Roman"/>
          <w:b/>
          <w:bCs/>
          <w:sz w:val="30"/>
          <w:szCs w:val="30"/>
        </w:rPr>
        <w:t>有序适应气候变化影响</w:t>
      </w:r>
      <w:bookmarkEnd w:id="149"/>
      <w:bookmarkEnd w:id="150"/>
      <w:bookmarkEnd w:id="151"/>
      <w:bookmarkEnd w:id="152"/>
      <w:bookmarkEnd w:id="153"/>
    </w:p>
    <w:p w14:paraId="39789E2E">
      <w:pPr>
        <w:adjustRightInd w:val="0"/>
        <w:snapToGrid w:val="0"/>
        <w:spacing w:line="500" w:lineRule="exact"/>
        <w:ind w:firstLine="600" w:firstLineChars="200"/>
        <w:rPr>
          <w:rFonts w:ascii="Times New Roman" w:hAnsi="Times New Roman" w:eastAsia="仿宋_GB2312" w:cs="Times New Roman"/>
          <w:sz w:val="30"/>
          <w:szCs w:val="30"/>
          <w:lang w:val="zh-CN"/>
        </w:rPr>
      </w:pPr>
      <w:r>
        <w:rPr>
          <w:rFonts w:hint="eastAsia" w:ascii="Times New Roman" w:hAnsi="Times New Roman" w:eastAsia="仿宋_GB2312" w:cs="Times New Roman"/>
          <w:sz w:val="30"/>
          <w:szCs w:val="30"/>
          <w:lang w:val="zh-CN"/>
        </w:rPr>
        <w:t>开展气候变化观测和温室气体背景浓度监测，加强重点区域冰川、冻土、生态监测，建立气候长序列历史数据库。参与青藏高原综合科学考察研究，加强全球气候变暖对河流上游、雪山等承受力脆弱地区影响的观测和评估。加强高温热浪、持续干旱、极端暴雨、低温冻害等极端天气和气候事件及其诱发灾害的监测预警。开发保护旅游资源，增强冰川冰雪等自然旅游业态的气候韧性。</w:t>
      </w:r>
      <w:bookmarkEnd w:id="136"/>
      <w:bookmarkEnd w:id="137"/>
      <w:bookmarkEnd w:id="139"/>
      <w:bookmarkEnd w:id="140"/>
      <w:bookmarkEnd w:id="141"/>
      <w:bookmarkEnd w:id="146"/>
      <w:bookmarkEnd w:id="147"/>
      <w:bookmarkEnd w:id="148"/>
      <w:bookmarkStart w:id="154" w:name="_Toc5093"/>
      <w:bookmarkStart w:id="155" w:name="_Toc522718999"/>
      <w:bookmarkStart w:id="156" w:name="_Toc528335048"/>
      <w:bookmarkStart w:id="157" w:name="_Toc524445021"/>
    </w:p>
    <w:p w14:paraId="6359132A">
      <w:pPr>
        <w:spacing w:line="580" w:lineRule="exact"/>
        <w:jc w:val="center"/>
        <w:outlineLvl w:val="1"/>
        <w:rPr>
          <w:rFonts w:ascii="Times New Roman" w:hAnsi="Times New Roman" w:eastAsia="黑体" w:cs="Times New Roman"/>
          <w:bCs/>
          <w:sz w:val="32"/>
          <w:szCs w:val="32"/>
        </w:rPr>
      </w:pPr>
      <w:bookmarkStart w:id="158" w:name="_Toc23245"/>
      <w:r>
        <w:rPr>
          <w:rFonts w:hint="eastAsia" w:ascii="Times New Roman" w:hAnsi="Times New Roman" w:eastAsia="黑体" w:cs="Times New Roman"/>
          <w:bCs/>
          <w:sz w:val="32"/>
          <w:szCs w:val="32"/>
        </w:rPr>
        <w:t xml:space="preserve">第三节  </w:t>
      </w:r>
      <w:bookmarkEnd w:id="154"/>
      <w:r>
        <w:rPr>
          <w:rFonts w:hint="eastAsia" w:ascii="Times New Roman" w:hAnsi="Times New Roman" w:eastAsia="黑体" w:cs="Times New Roman"/>
          <w:bCs/>
          <w:sz w:val="32"/>
          <w:szCs w:val="32"/>
        </w:rPr>
        <w:t>保持巩固环境质量</w:t>
      </w:r>
      <w:bookmarkEnd w:id="158"/>
    </w:p>
    <w:p w14:paraId="6B4124E5">
      <w:pPr>
        <w:spacing w:line="580" w:lineRule="exact"/>
        <w:ind w:firstLine="602" w:firstLineChars="200"/>
        <w:outlineLvl w:val="2"/>
        <w:rPr>
          <w:rFonts w:ascii="Times New Roman" w:hAnsi="Times New Roman" w:eastAsia="楷体_GB2312" w:cs="Times New Roman"/>
          <w:b/>
          <w:bCs/>
          <w:sz w:val="30"/>
          <w:szCs w:val="30"/>
        </w:rPr>
      </w:pPr>
      <w:r>
        <w:rPr>
          <w:rFonts w:ascii="Times New Roman" w:hAnsi="Times New Roman" w:eastAsia="楷体_GB2312" w:cs="Times New Roman"/>
          <w:b/>
          <w:bCs/>
          <w:sz w:val="30"/>
          <w:szCs w:val="30"/>
        </w:rPr>
        <w:t>（一）</w:t>
      </w:r>
      <w:r>
        <w:rPr>
          <w:rFonts w:hint="eastAsia" w:ascii="Times New Roman" w:hAnsi="Times New Roman" w:eastAsia="楷体_GB2312" w:cs="Times New Roman"/>
          <w:b/>
          <w:bCs/>
          <w:sz w:val="30"/>
          <w:szCs w:val="30"/>
        </w:rPr>
        <w:t>稳步提升水环境质量</w:t>
      </w:r>
    </w:p>
    <w:bookmarkEnd w:id="155"/>
    <w:bookmarkEnd w:id="156"/>
    <w:bookmarkEnd w:id="157"/>
    <w:p w14:paraId="3D3161F3">
      <w:pPr>
        <w:adjustRightInd w:val="0"/>
        <w:snapToGrid w:val="0"/>
        <w:spacing w:line="500" w:lineRule="exact"/>
        <w:ind w:firstLine="602" w:firstLineChars="200"/>
        <w:rPr>
          <w:rFonts w:ascii="Times New Roman" w:hAnsi="Times New Roman" w:eastAsia="仿宋_GB2312" w:cs="Times New Roman"/>
          <w:sz w:val="30"/>
          <w:szCs w:val="30"/>
          <w:lang w:val="zh-CN"/>
        </w:rPr>
      </w:pPr>
      <w:bookmarkStart w:id="159" w:name="_Toc528335053"/>
      <w:r>
        <w:rPr>
          <w:rFonts w:ascii="Times New Roman" w:hAnsi="Times New Roman" w:eastAsia="仿宋_GB2312" w:cs="Times New Roman"/>
          <w:b/>
          <w:bCs/>
          <w:sz w:val="30"/>
          <w:szCs w:val="30"/>
        </w:rPr>
        <w:t>深化“三水”统筹管理。</w:t>
      </w:r>
      <w:r>
        <w:rPr>
          <w:rFonts w:hint="eastAsia" w:ascii="Times New Roman" w:hAnsi="Times New Roman" w:eastAsia="仿宋_GB2312" w:cs="Times New Roman"/>
          <w:sz w:val="30"/>
          <w:szCs w:val="30"/>
          <w:lang w:val="zh-CN"/>
        </w:rPr>
        <w:t>加强水资源、水生态、水环境系统治理，以水生态为核心，统筹水资源利用、水生态保护和水环境治理，污染减排与生态扩容两手发力。实行水资源消耗总量和强度双控，确立水资源开发利用和用水效率控制红线。统筹建立水资源、水生态和水环境监测评价体系，增加生态用水保障，促进水生态恢复，确保水环境质量只能更好、不能变坏。落实《西藏自治区全面推行河长制工作方案》和《西藏自治区关于全面落实河湖长制加强湖泊管理保护的意见》等文件要求，根据“一河（湖）一策”管理保护方案，结合洛隆县怒江以及支流卓玛朗措河、洞措曲和巴曲等河流的分布情况，全面推进洛隆县区域范围内主要河流生态保护及综合治理工作，落实“河湖长制”的各项工作。根据昌都市下达的总量减排要求，持续削减化学需氧量和氨氮排放总量，稳步提升水生态环境。保证水环境质量保持稳定或持续改善，达到Ⅲ类水质，无劣</w:t>
      </w:r>
      <w:r>
        <w:rPr>
          <w:rFonts w:hint="eastAsia" w:ascii="Times New Roman" w:hAnsi="Times New Roman" w:eastAsia="仿宋_GB2312" w:cs="Times New Roman"/>
          <w:sz w:val="30"/>
          <w:szCs w:val="30"/>
          <w:lang w:val="zh-CN"/>
        </w:rPr>
        <w:fldChar w:fldCharType="begin"/>
      </w:r>
      <w:r>
        <w:rPr>
          <w:rFonts w:hint="eastAsia" w:ascii="Times New Roman" w:hAnsi="Times New Roman" w:eastAsia="仿宋_GB2312" w:cs="Times New Roman"/>
          <w:sz w:val="30"/>
          <w:szCs w:val="30"/>
          <w:lang w:val="zh-CN"/>
        </w:rPr>
        <w:instrText xml:space="preserve"> = 5 \* ROMAN \* MERGEFORMAT </w:instrText>
      </w:r>
      <w:r>
        <w:rPr>
          <w:rFonts w:hint="eastAsia" w:ascii="Times New Roman" w:hAnsi="Times New Roman" w:eastAsia="仿宋_GB2312" w:cs="Times New Roman"/>
          <w:sz w:val="30"/>
          <w:szCs w:val="30"/>
          <w:lang w:val="zh-CN"/>
        </w:rPr>
        <w:fldChar w:fldCharType="separate"/>
      </w:r>
      <w:r>
        <w:rPr>
          <w:rFonts w:hint="eastAsia" w:ascii="Times New Roman" w:hAnsi="Times New Roman" w:eastAsia="仿宋_GB2312" w:cs="Times New Roman"/>
          <w:sz w:val="30"/>
          <w:szCs w:val="30"/>
          <w:lang w:val="zh-CN"/>
        </w:rPr>
        <w:t>V</w:t>
      </w:r>
      <w:r>
        <w:rPr>
          <w:rFonts w:hint="eastAsia" w:ascii="Times New Roman" w:hAnsi="Times New Roman" w:eastAsia="仿宋_GB2312" w:cs="Times New Roman"/>
          <w:sz w:val="30"/>
          <w:szCs w:val="30"/>
          <w:lang w:val="zh-CN"/>
        </w:rPr>
        <w:fldChar w:fldCharType="end"/>
      </w:r>
      <w:r>
        <w:rPr>
          <w:rFonts w:hint="eastAsia" w:ascii="Times New Roman" w:hAnsi="Times New Roman" w:eastAsia="仿宋_GB2312" w:cs="Times New Roman"/>
          <w:sz w:val="30"/>
          <w:szCs w:val="30"/>
          <w:lang w:val="zh-CN"/>
        </w:rPr>
        <w:t>类水体和黑臭水体分布。</w:t>
      </w:r>
    </w:p>
    <w:p w14:paraId="2A876B64">
      <w:pPr>
        <w:adjustRightInd w:val="0"/>
        <w:snapToGrid w:val="0"/>
        <w:spacing w:line="500" w:lineRule="exact"/>
        <w:ind w:firstLine="602" w:firstLineChars="200"/>
        <w:rPr>
          <w:rFonts w:ascii="Times New Roman" w:hAnsi="Times New Roman" w:eastAsia="仿宋_GB2312" w:cs="Times New Roman"/>
          <w:sz w:val="30"/>
          <w:szCs w:val="30"/>
          <w:lang w:val="zh-CN"/>
        </w:rPr>
      </w:pPr>
      <w:r>
        <w:rPr>
          <w:rFonts w:ascii="Times New Roman" w:hAnsi="Times New Roman" w:eastAsia="仿宋_GB2312" w:cs="Times New Roman"/>
          <w:b/>
          <w:bCs/>
          <w:sz w:val="30"/>
          <w:szCs w:val="30"/>
        </w:rPr>
        <w:t>提高监管能力，加强排污口整治。</w:t>
      </w:r>
      <w:r>
        <w:rPr>
          <w:rFonts w:hint="eastAsia" w:ascii="Times New Roman" w:hAnsi="Times New Roman" w:eastAsia="仿宋_GB2312" w:cs="Times New Roman"/>
          <w:sz w:val="30"/>
          <w:szCs w:val="30"/>
          <w:lang w:val="zh-CN"/>
        </w:rPr>
        <w:t>开展排污口排查溯源工作，明确入河排污口责任主体。严格入河排污口审批，实施分类管控，加强规范化建设，持续开展入河排污口整治。强化入河排污口排查整治。按照“查、测、溯、治”的要求，将入河排污口整治与小流域合治理紧密衔接，系统实施综合整治。加强排污口排查，提高智能化设备的运用，以城市建区等重要水体为重点范围，开展入河排污口溯源、定责及分类整治工作，形成重点水体入河污口清单及工作台账。开展入河排污口整治，制定实施排污口分类整治方案，明确整治目标和时限要求，统一规范排污口设置。到2025年完成全流域范围内排污口排查，完成流域排污口监测网络建设，建成流域排污口信息管理系统。推动建立权责清晰、监控到位、管理规范的入河排口长效管理工作机制。</w:t>
      </w:r>
    </w:p>
    <w:p w14:paraId="282F9314">
      <w:pPr>
        <w:adjustRightInd w:val="0"/>
        <w:snapToGrid w:val="0"/>
        <w:spacing w:line="500" w:lineRule="exact"/>
        <w:ind w:firstLine="602" w:firstLineChars="200"/>
        <w:rPr>
          <w:rFonts w:ascii="Times New Roman" w:hAnsi="Times New Roman" w:eastAsia="仿宋_GB2312" w:cs="Times New Roman"/>
          <w:sz w:val="30"/>
          <w:szCs w:val="30"/>
          <w:lang w:val="zh-CN"/>
        </w:rPr>
      </w:pPr>
      <w:r>
        <w:rPr>
          <w:rFonts w:ascii="Times New Roman" w:hAnsi="Times New Roman" w:eastAsia="仿宋_GB2312" w:cs="Times New Roman"/>
          <w:b/>
          <w:bCs/>
          <w:sz w:val="30"/>
          <w:szCs w:val="30"/>
        </w:rPr>
        <w:t>加强河湖污染防治</w:t>
      </w:r>
      <w:r>
        <w:rPr>
          <w:rFonts w:hint="eastAsia" w:ascii="Times New Roman" w:hAnsi="Times New Roman" w:eastAsia="仿宋_GB2312" w:cs="Times New Roman"/>
          <w:b/>
          <w:bCs/>
          <w:sz w:val="30"/>
          <w:szCs w:val="30"/>
        </w:rPr>
        <w:t>。</w:t>
      </w:r>
      <w:r>
        <w:rPr>
          <w:rFonts w:hint="eastAsia" w:ascii="Times New Roman" w:hAnsi="Times New Roman" w:eastAsia="仿宋_GB2312" w:cs="Times New Roman"/>
          <w:sz w:val="30"/>
          <w:szCs w:val="30"/>
          <w:lang w:val="zh-CN"/>
        </w:rPr>
        <w:t>持续以“河畅、水清、岸绿、景美”为目标，深入开展“四项行动”。积极开展干、支流“四乱”自查整治工作，通过对乱倒垃圾、侵占河道和非法采砂等突出问题清理整治，改善河湖环境质量。加强河湖水域岸线管理保护，清理整治侵占破坏岸线行为，恢复河湖水域岸线生态功能。严格监管入河排污口，加强生活污水、畜禽养殖污染整治和流域水污染防治。开展保护河湖的行动，保护水资源、水环境，保障饮用水源安全，提高用水效率，防止破坏水资源、水环境等违法行为发生。</w:t>
      </w:r>
    </w:p>
    <w:p w14:paraId="442A1F23">
      <w:pPr>
        <w:adjustRightInd w:val="0"/>
        <w:snapToGrid w:val="0"/>
        <w:spacing w:line="500" w:lineRule="exact"/>
        <w:ind w:firstLine="602" w:firstLineChars="200"/>
        <w:rPr>
          <w:rFonts w:ascii="Times New Roman" w:hAnsi="Times New Roman" w:eastAsia="仿宋_GB2312" w:cs="Times New Roman"/>
          <w:sz w:val="30"/>
          <w:szCs w:val="30"/>
          <w:lang w:val="zh-CN"/>
        </w:rPr>
      </w:pPr>
      <w:r>
        <w:rPr>
          <w:rFonts w:ascii="Times New Roman" w:hAnsi="Times New Roman" w:eastAsia="仿宋_GB2312" w:cs="Times New Roman"/>
          <w:b/>
          <w:bCs/>
          <w:sz w:val="30"/>
          <w:szCs w:val="30"/>
        </w:rPr>
        <w:t>深化地下水污染防治。</w:t>
      </w:r>
      <w:r>
        <w:rPr>
          <w:rFonts w:hint="eastAsia" w:ascii="Times New Roman" w:hAnsi="Times New Roman" w:eastAsia="仿宋_GB2312" w:cs="Times New Roman"/>
          <w:sz w:val="30"/>
          <w:szCs w:val="30"/>
          <w:lang w:val="zh-CN"/>
        </w:rPr>
        <w:t>开展区域集中式地下水型饮用水源环境现状调查，掌握集中式地下水型饮用水源水质、补给、径流、排泄等基础特性，以及周边污染源分布情况，因地制宜开展水源保护工程。持续开展垃圾填埋场、加油站等地下水重点污染源及周边地下水环境风险隐患调查评估，并采取相应风险防范和整治措施。加强地表水、地下水协同防治，结合城市基础设施建设和改造，加快城镇污水管网更新改造，减少管网渗漏。</w:t>
      </w:r>
    </w:p>
    <w:p w14:paraId="1EF95663">
      <w:pPr>
        <w:spacing w:line="580" w:lineRule="exact"/>
        <w:ind w:firstLine="602" w:firstLineChars="200"/>
        <w:outlineLvl w:val="2"/>
        <w:rPr>
          <w:rFonts w:ascii="Times New Roman" w:hAnsi="Times New Roman" w:eastAsia="楷体_GB2312" w:cs="Times New Roman"/>
          <w:b/>
          <w:bCs/>
          <w:sz w:val="30"/>
          <w:szCs w:val="30"/>
        </w:rPr>
      </w:pPr>
      <w:bookmarkStart w:id="160" w:name="_Toc28009"/>
      <w:r>
        <w:rPr>
          <w:rFonts w:ascii="Times New Roman" w:hAnsi="Times New Roman" w:eastAsia="楷体_GB2312" w:cs="Times New Roman"/>
          <w:b/>
          <w:bCs/>
          <w:sz w:val="30"/>
          <w:szCs w:val="30"/>
        </w:rPr>
        <w:t>（二）</w:t>
      </w:r>
      <w:bookmarkEnd w:id="160"/>
      <w:r>
        <w:rPr>
          <w:rFonts w:hint="eastAsia" w:ascii="Times New Roman" w:hAnsi="Times New Roman" w:eastAsia="楷体_GB2312" w:cs="Times New Roman"/>
          <w:b/>
          <w:bCs/>
          <w:sz w:val="30"/>
          <w:szCs w:val="30"/>
        </w:rPr>
        <w:t>维护优良大气环境质量</w:t>
      </w:r>
    </w:p>
    <w:p w14:paraId="5E73D12E">
      <w:pPr>
        <w:adjustRightInd w:val="0"/>
        <w:snapToGrid w:val="0"/>
        <w:spacing w:line="500" w:lineRule="exact"/>
        <w:ind w:firstLine="602" w:firstLineChars="200"/>
        <w:rPr>
          <w:rFonts w:ascii="Times New Roman" w:hAnsi="Times New Roman" w:eastAsia="仿宋_GB2312" w:cs="Times New Roman"/>
          <w:sz w:val="30"/>
          <w:szCs w:val="30"/>
          <w:lang w:val="zh-CN"/>
        </w:rPr>
      </w:pPr>
      <w:r>
        <w:rPr>
          <w:rFonts w:ascii="Times New Roman" w:hAnsi="Times New Roman" w:eastAsia="仿宋_GB2312" w:cs="Times New Roman"/>
          <w:b/>
          <w:bCs/>
          <w:sz w:val="30"/>
          <w:szCs w:val="30"/>
        </w:rPr>
        <w:t>推进结构优化调整，维持空气质量优良。</w:t>
      </w:r>
      <w:r>
        <w:rPr>
          <w:rFonts w:hint="eastAsia" w:ascii="Times New Roman" w:hAnsi="Times New Roman" w:eastAsia="仿宋_GB2312" w:cs="Times New Roman"/>
          <w:sz w:val="30"/>
          <w:szCs w:val="30"/>
          <w:lang w:val="zh-CN"/>
        </w:rPr>
        <w:t>统筹产业结构、交通结构、用地结构及能源结构优化调整，坚持源头防治。积极发展现代服务业，延伸产业链，提高第三产业占比。完善用地结构，提高土地利用效率。同时探索能源清洁利用方式，实施光伏发电应用试点，进一步提高清洁能源占比。</w:t>
      </w:r>
    </w:p>
    <w:p w14:paraId="1C2CBAEA">
      <w:pPr>
        <w:adjustRightInd w:val="0"/>
        <w:snapToGrid w:val="0"/>
        <w:spacing w:line="500" w:lineRule="exact"/>
        <w:ind w:firstLine="602" w:firstLineChars="200"/>
        <w:rPr>
          <w:rFonts w:ascii="Times New Roman" w:hAnsi="Times New Roman" w:eastAsia="仿宋_GB2312" w:cs="Times New Roman"/>
          <w:sz w:val="30"/>
          <w:szCs w:val="30"/>
        </w:rPr>
      </w:pPr>
      <w:r>
        <w:rPr>
          <w:rFonts w:ascii="Times New Roman" w:hAnsi="Times New Roman" w:eastAsia="仿宋_GB2312" w:cs="Times New Roman"/>
          <w:b/>
          <w:bCs/>
          <w:sz w:val="30"/>
          <w:szCs w:val="30"/>
        </w:rPr>
        <w:t>加强污染物协同控制，彻底消除污染天气。</w:t>
      </w:r>
      <w:r>
        <w:rPr>
          <w:rFonts w:hint="eastAsia" w:ascii="Times New Roman" w:hAnsi="Times New Roman" w:eastAsia="仿宋_GB2312" w:cs="Times New Roman"/>
          <w:sz w:val="30"/>
          <w:szCs w:val="30"/>
          <w:lang w:val="zh-CN"/>
        </w:rPr>
        <w:t>强化PM</w:t>
      </w:r>
      <w:r>
        <w:rPr>
          <w:rFonts w:hint="eastAsia" w:ascii="Times New Roman" w:hAnsi="Times New Roman" w:eastAsia="仿宋_GB2312" w:cs="Times New Roman"/>
          <w:sz w:val="30"/>
          <w:szCs w:val="30"/>
          <w:vertAlign w:val="subscript"/>
          <w:lang w:val="zh-CN"/>
        </w:rPr>
        <w:t>2.5</w:t>
      </w:r>
      <w:r>
        <w:rPr>
          <w:rFonts w:hint="eastAsia" w:ascii="Times New Roman" w:hAnsi="Times New Roman" w:eastAsia="仿宋_GB2312" w:cs="Times New Roman"/>
          <w:sz w:val="30"/>
          <w:szCs w:val="30"/>
          <w:lang w:val="zh-CN"/>
        </w:rPr>
        <w:t>与臭氧协同减排，统筹考虑PM</w:t>
      </w:r>
      <w:r>
        <w:rPr>
          <w:rFonts w:hint="eastAsia" w:ascii="Times New Roman" w:hAnsi="Times New Roman" w:eastAsia="仿宋_GB2312" w:cs="Times New Roman"/>
          <w:sz w:val="30"/>
          <w:szCs w:val="30"/>
          <w:vertAlign w:val="subscript"/>
          <w:lang w:val="zh-CN"/>
        </w:rPr>
        <w:t>2.5</w:t>
      </w:r>
      <w:r>
        <w:rPr>
          <w:rFonts w:hint="eastAsia" w:ascii="Times New Roman" w:hAnsi="Times New Roman" w:eastAsia="仿宋_GB2312" w:cs="Times New Roman"/>
          <w:sz w:val="30"/>
          <w:szCs w:val="30"/>
          <w:lang w:val="zh-CN"/>
        </w:rPr>
        <w:t>和O</w:t>
      </w:r>
      <w:r>
        <w:rPr>
          <w:rFonts w:hint="eastAsia" w:ascii="Times New Roman" w:hAnsi="Times New Roman" w:eastAsia="仿宋_GB2312" w:cs="Times New Roman"/>
          <w:sz w:val="30"/>
          <w:szCs w:val="30"/>
          <w:vertAlign w:val="subscript"/>
          <w:lang w:val="zh-CN"/>
        </w:rPr>
        <w:t>3</w:t>
      </w:r>
      <w:r>
        <w:rPr>
          <w:rFonts w:hint="eastAsia" w:ascii="Times New Roman" w:hAnsi="Times New Roman" w:eastAsia="仿宋_GB2312" w:cs="Times New Roman"/>
          <w:sz w:val="30"/>
          <w:szCs w:val="30"/>
          <w:lang w:val="zh-CN"/>
        </w:rPr>
        <w:t>污染控制需求、跨区域远距离传输特性及季节性特征，从控制区域协同、控制时段协同及减排措施协同三个角度，加强重点区域、重点时段、重点领域、重点行业治理，推动PM</w:t>
      </w:r>
      <w:r>
        <w:rPr>
          <w:rFonts w:hint="eastAsia" w:ascii="Times New Roman" w:hAnsi="Times New Roman" w:eastAsia="仿宋_GB2312" w:cs="Times New Roman"/>
          <w:sz w:val="30"/>
          <w:szCs w:val="30"/>
          <w:vertAlign w:val="subscript"/>
          <w:lang w:val="zh-CN"/>
        </w:rPr>
        <w:t>2.5</w:t>
      </w:r>
      <w:r>
        <w:rPr>
          <w:rFonts w:hint="eastAsia" w:ascii="Times New Roman" w:hAnsi="Times New Roman" w:eastAsia="仿宋_GB2312" w:cs="Times New Roman"/>
          <w:sz w:val="30"/>
          <w:szCs w:val="30"/>
          <w:lang w:val="zh-CN"/>
        </w:rPr>
        <w:t>和臭氧浓度双下降。</w:t>
      </w:r>
    </w:p>
    <w:p w14:paraId="7B0B5761">
      <w:pPr>
        <w:adjustRightInd w:val="0"/>
        <w:snapToGrid w:val="0"/>
        <w:spacing w:line="500" w:lineRule="exact"/>
        <w:ind w:firstLine="602" w:firstLineChars="200"/>
        <w:rPr>
          <w:rFonts w:ascii="Times New Roman" w:hAnsi="Times New Roman" w:eastAsia="仿宋_GB2312" w:cs="Times New Roman"/>
          <w:sz w:val="30"/>
          <w:szCs w:val="30"/>
          <w:lang w:val="zh-CN"/>
        </w:rPr>
      </w:pPr>
      <w:r>
        <w:rPr>
          <w:rFonts w:ascii="Times New Roman" w:hAnsi="Times New Roman" w:eastAsia="仿宋_GB2312" w:cs="Times New Roman"/>
          <w:b/>
          <w:bCs/>
          <w:sz w:val="30"/>
          <w:szCs w:val="30"/>
        </w:rPr>
        <w:t>大力推进VOCs治理，严格控制排放。</w:t>
      </w:r>
      <w:r>
        <w:rPr>
          <w:rFonts w:hint="eastAsia" w:ascii="Times New Roman" w:hAnsi="Times New Roman" w:eastAsia="仿宋_GB2312" w:cs="Times New Roman"/>
          <w:sz w:val="30"/>
          <w:szCs w:val="30"/>
          <w:lang w:val="zh-CN"/>
        </w:rPr>
        <w:t>根据《VOCs治理技术指南》相关要求，升级改造热力生产和供应业等重点工业行业收集处理设备，大力推进低VOCs含量产品源头替代。严格落实《挥发性有机物无组织排放控制标准》，定期对全县城市露天烧烤、寺庙进行管理和整治，餐饮等第三产业实施清洁能源改造。严格执行汽柴油质量标准，加强油品监管执法，开展原油、成品油等涉VOCs物质储罐排查，对县内加油站及储油库进行不定期监督检查，完成所有油气回收装置不合格加油站的整改工作，年汽油销售量5000吨以上的加油站全部完成油气处理装置（三次回收）安装，推进原油和成品油储运销的VOCs治理。</w:t>
      </w:r>
    </w:p>
    <w:p w14:paraId="7D24232A">
      <w:pPr>
        <w:adjustRightInd w:val="0"/>
        <w:snapToGrid w:val="0"/>
        <w:spacing w:line="500" w:lineRule="exact"/>
        <w:ind w:firstLine="602" w:firstLineChars="200"/>
        <w:rPr>
          <w:rFonts w:ascii="Times New Roman" w:hAnsi="Times New Roman" w:eastAsia="仿宋_GB2312" w:cs="Times New Roman"/>
          <w:sz w:val="30"/>
          <w:szCs w:val="30"/>
          <w:lang w:val="zh-CN"/>
        </w:rPr>
      </w:pPr>
      <w:r>
        <w:rPr>
          <w:rFonts w:ascii="Times New Roman" w:hAnsi="Times New Roman" w:eastAsia="仿宋_GB2312" w:cs="Times New Roman"/>
          <w:b/>
          <w:bCs/>
          <w:sz w:val="30"/>
          <w:szCs w:val="30"/>
        </w:rPr>
        <w:t>推进颗粒物精细化管控，严控无组织排放。</w:t>
      </w:r>
      <w:r>
        <w:rPr>
          <w:rFonts w:hint="eastAsia" w:ascii="Times New Roman" w:hAnsi="Times New Roman" w:eastAsia="仿宋_GB2312" w:cs="Times New Roman"/>
          <w:sz w:val="30"/>
          <w:szCs w:val="30"/>
          <w:lang w:val="zh-CN"/>
        </w:rPr>
        <w:t>全面落实建筑施工“100%”。强化货物运输管理，采取有效的封闭措施减少扬尘污染，无法封闭的应建设防风抑尘设施。建立餐饮油烟长效监管机制，推进县城建成区范围内大中型餐饮企业和单位食堂安装高效油烟净化装置。鼓励饮食业经营者使用天然气、液化石油气、电或其他清洁能源，逐步淘汰高污染燃料。加强居民家庭油烟排放环保宣传，推广使用高效净化型家用吸油烟机。加强对非道路移动机械的管控，完成全县非道路移动机械摸底调查。严格控制农业源颗粒物排放，加大区域秸秆禁烧执法检查力度，完善秸秆收储运体系，推广秸秆综合利用技术，因地制宜推行秸秆还田，到2025年，秸秆综合利用率保持在9</w:t>
      </w:r>
      <w:r>
        <w:rPr>
          <w:rFonts w:hint="eastAsia" w:ascii="Times New Roman" w:hAnsi="Times New Roman" w:eastAsia="仿宋_GB2312" w:cs="Times New Roman"/>
          <w:sz w:val="30"/>
          <w:szCs w:val="30"/>
        </w:rPr>
        <w:t>8</w:t>
      </w:r>
      <w:r>
        <w:rPr>
          <w:rFonts w:hint="eastAsia" w:ascii="Times New Roman" w:hAnsi="Times New Roman" w:eastAsia="仿宋_GB2312" w:cs="Times New Roman"/>
          <w:sz w:val="30"/>
          <w:szCs w:val="30"/>
          <w:lang w:val="zh-CN"/>
        </w:rPr>
        <w:t>%以上。</w:t>
      </w:r>
    </w:p>
    <w:p w14:paraId="6E65F712">
      <w:pPr>
        <w:adjustRightInd w:val="0"/>
        <w:snapToGrid w:val="0"/>
        <w:spacing w:line="500" w:lineRule="exact"/>
        <w:ind w:firstLine="602" w:firstLineChars="200"/>
        <w:rPr>
          <w:rFonts w:ascii="Times New Roman" w:hAnsi="Times New Roman" w:eastAsia="仿宋_GB2312" w:cs="Times New Roman"/>
          <w:sz w:val="30"/>
          <w:szCs w:val="30"/>
        </w:rPr>
      </w:pPr>
      <w:r>
        <w:rPr>
          <w:rFonts w:ascii="Times New Roman" w:hAnsi="Times New Roman" w:eastAsia="仿宋_GB2312" w:cs="Times New Roman"/>
          <w:b/>
          <w:bCs/>
          <w:sz w:val="30"/>
          <w:szCs w:val="30"/>
        </w:rPr>
        <w:t>探索大气氨排放控制，加强源头防控。</w:t>
      </w:r>
      <w:r>
        <w:rPr>
          <w:rFonts w:hint="eastAsia" w:ascii="Times New Roman" w:hAnsi="Times New Roman" w:eastAsia="仿宋_GB2312" w:cs="Times New Roman"/>
          <w:sz w:val="30"/>
          <w:szCs w:val="30"/>
          <w:lang w:val="zh-CN"/>
        </w:rPr>
        <w:t>逐步建立大气氨规范化排放清单，摸清县内重点氨排放源。推进畜禽养殖业、种植业大气氨减排，加强源头防控，优化化肥及饲料结构。严格执行重点行业大气氨排放标准及监测、控制技术规范，实施种植业和养殖业主要污染源污染环节氨排放水平监控。</w:t>
      </w:r>
    </w:p>
    <w:p w14:paraId="58C44E45">
      <w:pPr>
        <w:spacing w:line="580" w:lineRule="exact"/>
        <w:ind w:firstLine="602" w:firstLineChars="200"/>
        <w:outlineLvl w:val="2"/>
        <w:rPr>
          <w:rFonts w:ascii="Times New Roman" w:hAnsi="Times New Roman" w:eastAsia="楷体_GB2312" w:cs="Times New Roman"/>
          <w:b/>
          <w:bCs/>
          <w:sz w:val="30"/>
          <w:szCs w:val="30"/>
        </w:rPr>
      </w:pPr>
      <w:bookmarkStart w:id="161" w:name="_Toc1642"/>
      <w:bookmarkStart w:id="162" w:name="_Toc9499"/>
      <w:r>
        <w:rPr>
          <w:rFonts w:ascii="Times New Roman" w:hAnsi="Times New Roman" w:eastAsia="楷体_GB2312" w:cs="Times New Roman"/>
          <w:b/>
          <w:bCs/>
          <w:sz w:val="30"/>
          <w:szCs w:val="30"/>
        </w:rPr>
        <w:t>（</w:t>
      </w:r>
      <w:r>
        <w:rPr>
          <w:rFonts w:hint="eastAsia" w:ascii="Times New Roman" w:hAnsi="Times New Roman" w:eastAsia="楷体_GB2312" w:cs="Times New Roman"/>
          <w:b/>
          <w:bCs/>
          <w:sz w:val="30"/>
          <w:szCs w:val="30"/>
        </w:rPr>
        <w:t>三</w:t>
      </w:r>
      <w:r>
        <w:rPr>
          <w:rFonts w:ascii="Times New Roman" w:hAnsi="Times New Roman" w:eastAsia="楷体_GB2312" w:cs="Times New Roman"/>
          <w:b/>
          <w:bCs/>
          <w:sz w:val="30"/>
          <w:szCs w:val="30"/>
        </w:rPr>
        <w:t>）</w:t>
      </w:r>
      <w:bookmarkEnd w:id="161"/>
      <w:r>
        <w:rPr>
          <w:rFonts w:hint="eastAsia" w:ascii="Times New Roman" w:hAnsi="Times New Roman" w:eastAsia="楷体_GB2312" w:cs="Times New Roman"/>
          <w:b/>
          <w:bCs/>
          <w:sz w:val="30"/>
          <w:szCs w:val="30"/>
        </w:rPr>
        <w:t>预防土壤污染</w:t>
      </w:r>
    </w:p>
    <w:p w14:paraId="7DFB9A15">
      <w:pPr>
        <w:adjustRightInd w:val="0"/>
        <w:snapToGrid w:val="0"/>
        <w:spacing w:line="500" w:lineRule="exact"/>
        <w:ind w:firstLine="602" w:firstLineChars="200"/>
        <w:rPr>
          <w:rFonts w:ascii="Times New Roman" w:hAnsi="Times New Roman" w:eastAsia="仿宋_GB2312" w:cs="Times New Roman"/>
          <w:sz w:val="30"/>
          <w:szCs w:val="30"/>
          <w:lang w:val="zh-CN"/>
        </w:rPr>
      </w:pPr>
      <w:r>
        <w:rPr>
          <w:rFonts w:hint="eastAsia" w:ascii="Times New Roman" w:hAnsi="Times New Roman" w:eastAsia="仿宋_GB2312" w:cs="Times New Roman"/>
          <w:b/>
          <w:bCs/>
          <w:sz w:val="30"/>
          <w:szCs w:val="30"/>
        </w:rPr>
        <w:t>推进土壤环境监测预警网络建设。</w:t>
      </w:r>
      <w:r>
        <w:rPr>
          <w:rFonts w:hint="eastAsia" w:ascii="Times New Roman" w:hAnsi="Times New Roman" w:eastAsia="仿宋_GB2312" w:cs="Times New Roman"/>
          <w:sz w:val="30"/>
          <w:szCs w:val="30"/>
          <w:lang w:val="zh-CN"/>
        </w:rPr>
        <w:t>完善土壤环境监测制度，以农用地、饮用水源地周边土壤为重点，设置土壤环境监测点位，建设土壤环境质量监测网络。以农业集中区为重点，设置土壤环境风险监测点位，建立土壤环境质量预警网络。定期开展土壤污染状况评估。</w:t>
      </w:r>
    </w:p>
    <w:p w14:paraId="385322D9">
      <w:pPr>
        <w:adjustRightInd w:val="0"/>
        <w:snapToGrid w:val="0"/>
        <w:spacing w:line="500" w:lineRule="exact"/>
        <w:ind w:firstLine="602" w:firstLineChars="200"/>
        <w:rPr>
          <w:rFonts w:ascii="Times New Roman" w:hAnsi="Times New Roman" w:eastAsia="仿宋_GB2312" w:cs="Times New Roman"/>
          <w:sz w:val="30"/>
          <w:szCs w:val="30"/>
          <w:lang w:val="zh-CN"/>
        </w:rPr>
      </w:pPr>
      <w:r>
        <w:rPr>
          <w:rFonts w:hint="eastAsia" w:ascii="Times New Roman" w:hAnsi="Times New Roman" w:eastAsia="仿宋_GB2312" w:cs="Times New Roman"/>
          <w:b/>
          <w:bCs/>
          <w:sz w:val="30"/>
          <w:szCs w:val="30"/>
        </w:rPr>
        <w:t>实施农用地土壤分类管理。</w:t>
      </w:r>
      <w:r>
        <w:rPr>
          <w:rFonts w:hint="eastAsia" w:ascii="Times New Roman" w:hAnsi="Times New Roman" w:eastAsia="仿宋_GB2312" w:cs="Times New Roman"/>
          <w:sz w:val="30"/>
          <w:szCs w:val="30"/>
          <w:lang w:val="zh-CN"/>
        </w:rPr>
        <w:t>开展耕地土壤环境质量类别划定，实施优先保护区、安全利用、严格管控。强化农用地周边涉重金属、有毒化学品、持久性有机污染物等建设项目的准入约束，规范化肥、农药中重金属等有害成分含量，严控兽药、饲料添加剂的生产和使用，从严控制污水灌溉和污泥农用，控制农业生产过程环境污染。对未污染耕地实施严格保护，确保面积不减少、质量不下降。</w:t>
      </w:r>
    </w:p>
    <w:p w14:paraId="686CA530">
      <w:pPr>
        <w:adjustRightInd w:val="0"/>
        <w:snapToGrid w:val="0"/>
        <w:spacing w:line="500" w:lineRule="exact"/>
        <w:ind w:firstLine="602" w:firstLineChars="200"/>
        <w:rPr>
          <w:rFonts w:ascii="Times New Roman" w:hAnsi="Times New Roman" w:eastAsia="仿宋_GB2312" w:cs="Times New Roman"/>
          <w:sz w:val="30"/>
          <w:szCs w:val="30"/>
          <w:lang w:val="zh-CN"/>
        </w:rPr>
      </w:pPr>
      <w:r>
        <w:rPr>
          <w:rFonts w:hint="eastAsia" w:ascii="Times New Roman" w:hAnsi="Times New Roman" w:eastAsia="仿宋_GB2312" w:cs="Times New Roman"/>
          <w:b/>
          <w:bCs/>
          <w:sz w:val="30"/>
          <w:szCs w:val="30"/>
        </w:rPr>
        <w:t>加强林地草地园地土壤环境管理。</w:t>
      </w:r>
      <w:r>
        <w:rPr>
          <w:rFonts w:hint="eastAsia" w:ascii="Times New Roman" w:hAnsi="Times New Roman" w:eastAsia="仿宋_GB2312" w:cs="Times New Roman"/>
          <w:sz w:val="30"/>
          <w:szCs w:val="30"/>
          <w:lang w:val="zh-CN"/>
        </w:rPr>
        <w:t>严格控制林地、草地、园地的农药使用量，禁止使用高毒、高残留农药。加大生物农药、引诱剂使用推广力度。将重度污染的牧草地集中区域纳入禁牧休牧实施范围。加强对重度污染林地、园地产出食用农（林）产品质量检测。</w:t>
      </w:r>
    </w:p>
    <w:p w14:paraId="2B0A11C8">
      <w:pPr>
        <w:adjustRightInd w:val="0"/>
        <w:snapToGrid w:val="0"/>
        <w:spacing w:line="500" w:lineRule="exact"/>
        <w:ind w:firstLine="602" w:firstLineChars="200"/>
        <w:rPr>
          <w:rFonts w:ascii="Times New Roman" w:hAnsi="Times New Roman" w:eastAsia="仿宋_GB2312" w:cs="Times New Roman"/>
          <w:sz w:val="30"/>
          <w:szCs w:val="30"/>
          <w:lang w:val="zh-CN"/>
        </w:rPr>
      </w:pPr>
      <w:r>
        <w:rPr>
          <w:rFonts w:hint="eastAsia" w:ascii="Times New Roman" w:hAnsi="Times New Roman" w:eastAsia="仿宋_GB2312" w:cs="Times New Roman"/>
          <w:b/>
          <w:bCs/>
          <w:sz w:val="30"/>
          <w:szCs w:val="30"/>
        </w:rPr>
        <w:t>防治畜禽养殖污染。</w:t>
      </w:r>
      <w:r>
        <w:rPr>
          <w:rFonts w:hint="eastAsia" w:ascii="Times New Roman" w:hAnsi="Times New Roman" w:eastAsia="仿宋_GB2312" w:cs="Times New Roman"/>
          <w:sz w:val="30"/>
          <w:szCs w:val="30"/>
          <w:lang w:val="zh-CN"/>
        </w:rPr>
        <w:t>科学划定畜禽养殖禁养区、限养区、适养区，禁养区不得建设畜禽养殖场，限养区控制和限定畜禽饲养总量，不得新建、扩建畜禽养殖场。严格处理病死畜禽尸体。病死畜禽尸体要及时处理，采用焚烧炉焚烧或者填埋井填埋，严禁出售或者作为饲料再利用。</w:t>
      </w:r>
    </w:p>
    <w:p w14:paraId="3C58FC59">
      <w:pPr>
        <w:spacing w:line="580" w:lineRule="exact"/>
        <w:ind w:firstLine="602" w:firstLineChars="200"/>
        <w:outlineLvl w:val="2"/>
        <w:rPr>
          <w:rFonts w:ascii="Times New Roman" w:hAnsi="Times New Roman" w:eastAsia="楷体_GB2312" w:cs="Times New Roman"/>
          <w:b/>
          <w:bCs/>
          <w:sz w:val="30"/>
          <w:szCs w:val="30"/>
        </w:rPr>
      </w:pPr>
      <w:bookmarkStart w:id="163" w:name="_Toc31447"/>
      <w:r>
        <w:rPr>
          <w:rFonts w:ascii="Times New Roman" w:hAnsi="Times New Roman" w:eastAsia="楷体_GB2312" w:cs="Times New Roman"/>
          <w:b/>
          <w:bCs/>
          <w:sz w:val="30"/>
          <w:szCs w:val="30"/>
        </w:rPr>
        <w:t>（</w:t>
      </w:r>
      <w:r>
        <w:rPr>
          <w:rFonts w:hint="eastAsia" w:ascii="Times New Roman" w:hAnsi="Times New Roman" w:eastAsia="楷体_GB2312" w:cs="Times New Roman"/>
          <w:b/>
          <w:bCs/>
          <w:sz w:val="30"/>
          <w:szCs w:val="30"/>
        </w:rPr>
        <w:t>四</w:t>
      </w:r>
      <w:r>
        <w:rPr>
          <w:rFonts w:ascii="Times New Roman" w:hAnsi="Times New Roman" w:eastAsia="楷体_GB2312" w:cs="Times New Roman"/>
          <w:b/>
          <w:bCs/>
          <w:sz w:val="30"/>
          <w:szCs w:val="30"/>
        </w:rPr>
        <w:t>）</w:t>
      </w:r>
      <w:bookmarkEnd w:id="163"/>
      <w:r>
        <w:rPr>
          <w:rFonts w:hint="eastAsia" w:ascii="Times New Roman" w:hAnsi="Times New Roman" w:eastAsia="楷体_GB2312" w:cs="Times New Roman"/>
          <w:b/>
          <w:bCs/>
          <w:sz w:val="30"/>
          <w:szCs w:val="30"/>
        </w:rPr>
        <w:t>加强固废处理处置</w:t>
      </w:r>
      <w:r>
        <w:rPr>
          <w:rFonts w:ascii="Times New Roman" w:hAnsi="Times New Roman" w:eastAsia="楷体_GB2312" w:cs="Times New Roman"/>
          <w:b/>
          <w:bCs/>
          <w:sz w:val="30"/>
          <w:szCs w:val="30"/>
        </w:rPr>
        <w:t xml:space="preserve"> </w:t>
      </w:r>
    </w:p>
    <w:p w14:paraId="3CD5C23E">
      <w:pPr>
        <w:adjustRightInd w:val="0"/>
        <w:snapToGrid w:val="0"/>
        <w:spacing w:line="500" w:lineRule="exact"/>
        <w:ind w:firstLine="602" w:firstLineChars="200"/>
        <w:rPr>
          <w:rFonts w:ascii="Times New Roman" w:hAnsi="Times New Roman" w:eastAsia="仿宋_GB2312" w:cs="Times New Roman"/>
          <w:sz w:val="30"/>
          <w:szCs w:val="30"/>
          <w:lang w:val="zh-CN"/>
        </w:rPr>
      </w:pPr>
      <w:r>
        <w:rPr>
          <w:rFonts w:hint="eastAsia" w:ascii="Times New Roman" w:hAnsi="Times New Roman" w:eastAsia="仿宋_GB2312" w:cs="Times New Roman"/>
          <w:b/>
          <w:bCs/>
          <w:sz w:val="30"/>
          <w:szCs w:val="30"/>
        </w:rPr>
        <w:t>完善生活垃圾收运系统，提高无害化处置水平。</w:t>
      </w:r>
      <w:r>
        <w:rPr>
          <w:rFonts w:hint="eastAsia" w:ascii="Times New Roman" w:hAnsi="Times New Roman" w:eastAsia="仿宋_GB2312" w:cs="Times New Roman"/>
          <w:sz w:val="30"/>
          <w:szCs w:val="30"/>
          <w:lang w:val="zh-CN"/>
        </w:rPr>
        <w:t>推进城乡与旅游区生活垃圾无害化处理，促进餐厨垃圾资源化利用。采取定点存放、统一收集、定时清运、卫生填埋等处理方式，加大城乡生活垃圾处理设施建设。合理布局，建立完善县城及重点旅游城镇垃圾分类收集、转运和无害化处理处置系统，对现有生活垃圾填埋场进行改造，加强渗滤液处置设施改造。加快农牧民定居点垃圾收集处理设施建设。到2025年底，县城生活垃圾无害处理率达</w:t>
      </w:r>
      <w:r>
        <w:rPr>
          <w:rFonts w:hint="eastAsia" w:ascii="Times New Roman" w:hAnsi="Times New Roman" w:eastAsia="仿宋_GB2312" w:cs="Times New Roman"/>
          <w:sz w:val="30"/>
          <w:szCs w:val="30"/>
        </w:rPr>
        <w:t>100</w:t>
      </w:r>
      <w:r>
        <w:rPr>
          <w:rFonts w:hint="eastAsia" w:ascii="Times New Roman" w:hAnsi="Times New Roman" w:eastAsia="仿宋_GB2312" w:cs="Times New Roman"/>
          <w:sz w:val="30"/>
          <w:szCs w:val="30"/>
          <w:lang w:val="zh-CN"/>
        </w:rPr>
        <w:t>％，基本实现乡镇及行政村生活垃圾收转运处置体系全覆盖。</w:t>
      </w:r>
    </w:p>
    <w:p w14:paraId="6F898B2E">
      <w:pPr>
        <w:adjustRightInd w:val="0"/>
        <w:snapToGrid w:val="0"/>
        <w:spacing w:line="500" w:lineRule="exact"/>
        <w:ind w:firstLine="602" w:firstLineChars="200"/>
        <w:rPr>
          <w:rFonts w:ascii="Times New Roman" w:hAnsi="Times New Roman" w:eastAsia="仿宋_GB2312" w:cs="Times New Roman"/>
          <w:sz w:val="30"/>
          <w:szCs w:val="30"/>
          <w:lang w:val="zh-CN"/>
        </w:rPr>
      </w:pPr>
      <w:r>
        <w:rPr>
          <w:rFonts w:hint="eastAsia" w:ascii="Times New Roman" w:hAnsi="Times New Roman" w:eastAsia="仿宋_GB2312" w:cs="Times New Roman"/>
          <w:b/>
          <w:bCs/>
          <w:sz w:val="30"/>
          <w:szCs w:val="30"/>
        </w:rPr>
        <w:t>加大工业固危废监管力度。</w:t>
      </w:r>
      <w:r>
        <w:rPr>
          <w:rFonts w:hint="eastAsia" w:ascii="Times New Roman" w:hAnsi="Times New Roman" w:eastAsia="仿宋_GB2312" w:cs="Times New Roman"/>
          <w:sz w:val="30"/>
          <w:szCs w:val="30"/>
          <w:lang w:val="zh-CN"/>
        </w:rPr>
        <w:t>对工业企业，从生产、收集、运输、利用、处理、存放、处置等各个环节进行全过程监控，促进工业固体废物和危险废物按规范利用和处置，使得工业危险废物安全处置率保持100%。</w:t>
      </w:r>
    </w:p>
    <w:p w14:paraId="0AAD4891">
      <w:pPr>
        <w:adjustRightInd w:val="0"/>
        <w:snapToGrid w:val="0"/>
        <w:spacing w:line="500" w:lineRule="exact"/>
        <w:ind w:firstLine="602" w:firstLineChars="200"/>
        <w:rPr>
          <w:rFonts w:ascii="Times New Roman" w:hAnsi="Times New Roman" w:eastAsia="仿宋_GB2312" w:cs="Times New Roman"/>
          <w:sz w:val="30"/>
          <w:szCs w:val="30"/>
          <w:lang w:val="zh-CN"/>
        </w:rPr>
      </w:pPr>
      <w:r>
        <w:rPr>
          <w:rFonts w:hint="eastAsia" w:ascii="Times New Roman" w:hAnsi="Times New Roman" w:eastAsia="仿宋_GB2312" w:cs="Times New Roman"/>
          <w:b/>
          <w:bCs/>
          <w:sz w:val="30"/>
          <w:szCs w:val="30"/>
        </w:rPr>
        <w:t>加强危险废物安全处置。</w:t>
      </w:r>
      <w:r>
        <w:rPr>
          <w:rFonts w:hint="eastAsia" w:ascii="Times New Roman" w:hAnsi="Times New Roman" w:eastAsia="仿宋_GB2312" w:cs="Times New Roman"/>
          <w:sz w:val="30"/>
          <w:szCs w:val="30"/>
          <w:lang w:val="zh-CN"/>
        </w:rPr>
        <w:t>规范辖区内危险废物产生单位的内部管理，加强危险化学品及危险废物监管。严格落实危险废物申报登记制度，规范危险废物转移管理制度，规范危险废物贮存和标识，加强危险废物贮存期间的环境风险管理，建立和完善突发危险废物环境应急预案。</w:t>
      </w:r>
    </w:p>
    <w:p w14:paraId="34C5A909">
      <w:pPr>
        <w:adjustRightInd w:val="0"/>
        <w:snapToGrid w:val="0"/>
        <w:spacing w:line="500" w:lineRule="exact"/>
        <w:ind w:firstLine="602" w:firstLineChars="200"/>
        <w:rPr>
          <w:rFonts w:ascii="Times New Roman" w:hAnsi="Times New Roman" w:eastAsia="仿宋_GB2312" w:cs="Times New Roman"/>
          <w:sz w:val="30"/>
          <w:szCs w:val="30"/>
          <w:lang w:val="zh-CN"/>
        </w:rPr>
      </w:pPr>
      <w:r>
        <w:rPr>
          <w:rFonts w:hint="eastAsia" w:ascii="Times New Roman" w:hAnsi="Times New Roman" w:eastAsia="仿宋_GB2312" w:cs="Times New Roman"/>
          <w:b/>
          <w:bCs/>
          <w:sz w:val="30"/>
          <w:szCs w:val="30"/>
        </w:rPr>
        <w:t>加强医疗废物安全处置。</w:t>
      </w:r>
      <w:r>
        <w:rPr>
          <w:rFonts w:hint="eastAsia" w:ascii="Times New Roman" w:hAnsi="Times New Roman" w:eastAsia="仿宋_GB2312" w:cs="Times New Roman"/>
          <w:sz w:val="30"/>
          <w:szCs w:val="30"/>
          <w:lang w:val="zh-CN"/>
        </w:rPr>
        <w:t>落实完善医疗废物管理责任制，加大对医疗废物的监管力度，进一步加强医疗废物收集、运输、储存和焚烧管理工作，实行全过程控制，严格实施医疗废物集中处置。继续实行“县卫健委主管、县生态环境局监管→各医疗机构收集→医疗废物处置中心统一转运处置”的集中收运处置体系和运行机制，确保医疗废物处置率达100%。</w:t>
      </w:r>
    </w:p>
    <w:p w14:paraId="1DF28741">
      <w:pPr>
        <w:adjustRightInd w:val="0"/>
        <w:snapToGrid w:val="0"/>
        <w:spacing w:line="500" w:lineRule="exact"/>
        <w:ind w:firstLine="602" w:firstLineChars="200"/>
        <w:rPr>
          <w:rFonts w:ascii="Times New Roman" w:hAnsi="Times New Roman" w:eastAsia="仿宋_GB2312" w:cs="Times New Roman"/>
          <w:sz w:val="30"/>
          <w:szCs w:val="30"/>
          <w:lang w:val="zh-CN"/>
        </w:rPr>
      </w:pPr>
      <w:r>
        <w:rPr>
          <w:rFonts w:hint="eastAsia" w:ascii="Times New Roman" w:hAnsi="Times New Roman" w:eastAsia="仿宋_GB2312" w:cs="Times New Roman"/>
          <w:b/>
          <w:bCs/>
          <w:sz w:val="30"/>
          <w:szCs w:val="30"/>
        </w:rPr>
        <w:t>持续打好“白色污染”治理攻坚战。</w:t>
      </w:r>
      <w:r>
        <w:rPr>
          <w:rFonts w:hint="eastAsia" w:ascii="Times New Roman" w:hAnsi="Times New Roman" w:eastAsia="仿宋_GB2312" w:cs="Times New Roman"/>
          <w:sz w:val="30"/>
          <w:szCs w:val="30"/>
          <w:lang w:val="zh-CN"/>
        </w:rPr>
        <w:t>深入开展美丽西藏“三整治三提升”行动，持续推进主要城镇、乡村周边、重要交通干线沿线、旅游景区景点、建筑施工场地、河湖湿地等区域“白色污染”治理。深入开展塑料污染治理，到2025年塑料产品生产、流通、消费和回收处置等环节的管理制度基本建立，塑料污染得到有效控制。积极开展“无废城市”建设，开展煨桑、经幡生态环境保护行动。</w:t>
      </w:r>
    </w:p>
    <w:p w14:paraId="7C3B78F0">
      <w:pPr>
        <w:spacing w:line="580" w:lineRule="exact"/>
        <w:ind w:firstLine="602" w:firstLineChars="200"/>
        <w:outlineLvl w:val="2"/>
        <w:rPr>
          <w:rFonts w:ascii="Times New Roman" w:hAnsi="Times New Roman" w:eastAsia="楷体_GB2312" w:cs="Times New Roman"/>
          <w:b/>
          <w:bCs/>
          <w:sz w:val="30"/>
          <w:szCs w:val="30"/>
        </w:rPr>
      </w:pPr>
      <w:r>
        <w:rPr>
          <w:rFonts w:hint="eastAsia" w:ascii="Times New Roman" w:hAnsi="Times New Roman" w:eastAsia="楷体_GB2312" w:cs="Times New Roman"/>
          <w:b/>
          <w:bCs/>
          <w:sz w:val="30"/>
          <w:szCs w:val="30"/>
        </w:rPr>
        <w:t>（五）防治农业面源污染</w:t>
      </w:r>
    </w:p>
    <w:p w14:paraId="109B9576">
      <w:pPr>
        <w:adjustRightInd w:val="0"/>
        <w:snapToGrid w:val="0"/>
        <w:spacing w:line="500" w:lineRule="exact"/>
        <w:ind w:firstLine="600" w:firstLineChars="200"/>
        <w:rPr>
          <w:rFonts w:ascii="Times New Roman" w:hAnsi="Times New Roman" w:eastAsia="仿宋_GB2312" w:cs="Times New Roman"/>
          <w:sz w:val="30"/>
          <w:szCs w:val="30"/>
          <w:lang w:val="zh-CN"/>
        </w:rPr>
      </w:pPr>
      <w:r>
        <w:rPr>
          <w:rFonts w:hint="eastAsia" w:ascii="Times New Roman" w:hAnsi="Times New Roman" w:eastAsia="仿宋_GB2312" w:cs="Times New Roman"/>
          <w:sz w:val="30"/>
          <w:szCs w:val="30"/>
          <w:lang w:val="zh-CN"/>
        </w:rPr>
        <w:t>严格监管化肥农药使用，倡导和鼓励农民减少农药、化肥使用量。在重要水源保护区和流域制订并执行限定性的农业生产技术标准，严格规定施肥量和施肥时间、品种及方式。科学处理农业废料垃圾。推广农作物秸秆综合利用技术，有效利用农作物秸秆资源；建设农膜及化肥、农药等包装集中处理厂(场)，收集农膜和化肥、农药等包装，实施集中处理。</w:t>
      </w:r>
    </w:p>
    <w:p w14:paraId="3BC19686">
      <w:pPr>
        <w:adjustRightInd w:val="0"/>
        <w:snapToGrid w:val="0"/>
        <w:spacing w:line="500" w:lineRule="exact"/>
        <w:ind w:firstLine="600" w:firstLineChars="200"/>
        <w:rPr>
          <w:rFonts w:ascii="Times New Roman" w:hAnsi="Times New Roman" w:eastAsia="仿宋_GB2312" w:cs="Times New Roman"/>
          <w:sz w:val="30"/>
          <w:szCs w:val="30"/>
          <w:lang w:val="zh-CN"/>
        </w:rPr>
      </w:pPr>
      <w:r>
        <w:rPr>
          <w:rFonts w:hint="eastAsia" w:ascii="Times New Roman" w:hAnsi="Times New Roman" w:eastAsia="仿宋_GB2312" w:cs="Times New Roman"/>
          <w:sz w:val="30"/>
          <w:szCs w:val="30"/>
          <w:lang w:val="zh-CN"/>
        </w:rPr>
        <w:t>建立农村污染预警制度，加强秸秆禁烧巡查检查，推进秸秆禁烧工作规范化、制度化。强化秸秆综合利用，研究制定秸秆处置和综合利用激励机制，探索建立肥料化、饲料化和基料化利用点。大力推广秸秆（根茬）还田，包括机械粉碎灭茬、留高茬、积制秸秆肥等措施；结合农业产业结构调整的食用菌基地建设，积极推进秸秆基料化利用；结合牛羊养殖，推广秸秆饲料化利用，推行秸秆养畜。确保秸秆综合利用率稳定在9</w:t>
      </w:r>
      <w:r>
        <w:rPr>
          <w:rFonts w:hint="eastAsia" w:ascii="Times New Roman" w:hAnsi="Times New Roman" w:eastAsia="仿宋_GB2312" w:cs="Times New Roman"/>
          <w:sz w:val="30"/>
          <w:szCs w:val="30"/>
        </w:rPr>
        <w:t>8</w:t>
      </w:r>
      <w:r>
        <w:rPr>
          <w:rFonts w:hint="eastAsia" w:ascii="Times New Roman" w:hAnsi="Times New Roman" w:eastAsia="仿宋_GB2312" w:cs="Times New Roman"/>
          <w:sz w:val="30"/>
          <w:szCs w:val="30"/>
          <w:lang w:val="zh-CN"/>
        </w:rPr>
        <w:t>%以上。</w:t>
      </w:r>
    </w:p>
    <w:p w14:paraId="0CB87789">
      <w:pPr>
        <w:adjustRightInd w:val="0"/>
        <w:snapToGrid w:val="0"/>
        <w:spacing w:line="500" w:lineRule="exact"/>
        <w:ind w:firstLine="600" w:firstLineChars="200"/>
        <w:rPr>
          <w:rFonts w:ascii="Times New Roman" w:hAnsi="Times New Roman" w:eastAsia="仿宋_GB2312" w:cs="Times New Roman"/>
          <w:sz w:val="30"/>
          <w:szCs w:val="30"/>
          <w:lang w:val="zh-CN"/>
        </w:rPr>
      </w:pPr>
      <w:r>
        <w:rPr>
          <w:rFonts w:hint="eastAsia" w:ascii="Times New Roman" w:hAnsi="Times New Roman" w:eastAsia="仿宋_GB2312" w:cs="Times New Roman"/>
          <w:sz w:val="30"/>
          <w:szCs w:val="30"/>
          <w:lang w:val="zh-CN"/>
        </w:rPr>
        <w:t>巩固畜禽养殖污染防治成效。开展标准化猪舍、养殖场节水节料、粪污收集处理、无害化处理等设施化改造和清洁生产技术应用。在区域调整与搬迁转移中，引导养殖“上山入园”，发展适度规模的生态养殖场。鼓励加工生产有机肥并加强监管。对适养区域养殖场进行粪污处理，科学规划布局种养对接，落实生态消纳地，加快建设沼液收集、贮存和利用配套设施设备和管网，配置运输车辆，建立就地消纳有效运行机制，推进沼液资源化利用。确保畜禽粪污综合利用率达到稳定在100%。健全完善病死畜禽收集暂存和处理体系，配备相应收集、运输、暂存和处理设施，病死畜禽基本实现无害化处理。</w:t>
      </w:r>
    </w:p>
    <w:p w14:paraId="1BCE88FB">
      <w:pPr>
        <w:spacing w:line="580" w:lineRule="exact"/>
        <w:ind w:firstLine="602" w:firstLineChars="200"/>
        <w:outlineLvl w:val="2"/>
        <w:rPr>
          <w:rFonts w:ascii="Times New Roman" w:hAnsi="Times New Roman" w:eastAsia="楷体_GB2312" w:cs="Times New Roman"/>
          <w:b/>
          <w:bCs/>
          <w:sz w:val="30"/>
          <w:szCs w:val="30"/>
        </w:rPr>
      </w:pPr>
      <w:r>
        <w:rPr>
          <w:rFonts w:ascii="Times New Roman" w:hAnsi="Times New Roman" w:eastAsia="楷体_GB2312" w:cs="Times New Roman"/>
          <w:b/>
          <w:bCs/>
          <w:sz w:val="30"/>
          <w:szCs w:val="30"/>
        </w:rPr>
        <w:t>（</w:t>
      </w:r>
      <w:r>
        <w:rPr>
          <w:rFonts w:hint="eastAsia" w:ascii="Times New Roman" w:hAnsi="Times New Roman" w:eastAsia="楷体_GB2312" w:cs="Times New Roman"/>
          <w:b/>
          <w:bCs/>
          <w:sz w:val="30"/>
          <w:szCs w:val="30"/>
        </w:rPr>
        <w:t>六</w:t>
      </w:r>
      <w:r>
        <w:rPr>
          <w:rFonts w:ascii="Times New Roman" w:hAnsi="Times New Roman" w:eastAsia="楷体_GB2312" w:cs="Times New Roman"/>
          <w:b/>
          <w:bCs/>
          <w:sz w:val="30"/>
          <w:szCs w:val="30"/>
        </w:rPr>
        <w:t>）</w:t>
      </w:r>
      <w:r>
        <w:rPr>
          <w:rFonts w:ascii="Times New Roman" w:hAnsi="Times New Roman" w:eastAsia="楷体_GB2312" w:cs="Times New Roman"/>
          <w:b/>
          <w:bCs/>
          <w:sz w:val="30"/>
          <w:szCs w:val="30"/>
          <w:lang w:val="zh-CN"/>
        </w:rPr>
        <w:t>建设“宁静</w:t>
      </w:r>
      <w:r>
        <w:rPr>
          <w:rFonts w:hint="eastAsia" w:ascii="Times New Roman" w:hAnsi="Times New Roman" w:eastAsia="楷体_GB2312" w:cs="Times New Roman"/>
          <w:b/>
          <w:bCs/>
          <w:sz w:val="30"/>
          <w:szCs w:val="30"/>
        </w:rPr>
        <w:t>洛隆</w:t>
      </w:r>
      <w:r>
        <w:rPr>
          <w:rFonts w:ascii="Times New Roman" w:hAnsi="Times New Roman" w:eastAsia="楷体_GB2312" w:cs="Times New Roman"/>
          <w:b/>
          <w:bCs/>
          <w:sz w:val="30"/>
          <w:szCs w:val="30"/>
          <w:lang w:val="zh-CN"/>
        </w:rPr>
        <w:t>”</w:t>
      </w:r>
      <w:bookmarkEnd w:id="162"/>
      <w:r>
        <w:rPr>
          <w:rFonts w:ascii="Times New Roman" w:hAnsi="Times New Roman" w:eastAsia="楷体_GB2312" w:cs="Times New Roman"/>
          <w:b/>
          <w:bCs/>
          <w:sz w:val="30"/>
          <w:szCs w:val="30"/>
        </w:rPr>
        <w:t xml:space="preserve"> </w:t>
      </w:r>
    </w:p>
    <w:p w14:paraId="5D69C03A">
      <w:pPr>
        <w:adjustRightInd w:val="0"/>
        <w:snapToGrid w:val="0"/>
        <w:spacing w:line="500" w:lineRule="exact"/>
        <w:ind w:firstLine="600" w:firstLineChars="200"/>
        <w:rPr>
          <w:rFonts w:ascii="Times New Roman" w:hAnsi="Times New Roman" w:eastAsia="仿宋_GB2312" w:cs="Times New Roman"/>
          <w:sz w:val="30"/>
          <w:szCs w:val="30"/>
          <w:lang w:val="zh-CN"/>
        </w:rPr>
      </w:pPr>
      <w:bookmarkStart w:id="164" w:name="_Toc32180"/>
      <w:r>
        <w:rPr>
          <w:rFonts w:hint="eastAsia" w:ascii="Times New Roman" w:hAnsi="Times New Roman" w:eastAsia="仿宋_GB2312" w:cs="Times New Roman"/>
          <w:sz w:val="30"/>
          <w:szCs w:val="30"/>
          <w:lang w:val="zh-CN"/>
        </w:rPr>
        <w:t>强化噪声源头管控，开展噪声分类治理。完善建筑施工噪声管理制度，鼓励使用低噪声施工设备和工艺，强化建筑施工噪声污染执法检查。强化交通噪声污染整治，在敏感路段安装机动车违禁鸣笛自动抓拍设备。推进社会生活噪声污染防治，严格管理公共场所和家庭室内活动产生的噪声，严格查处商业经营活动及文化娱乐场所边界噪声超标排放等行为。</w:t>
      </w:r>
    </w:p>
    <w:bookmarkEnd w:id="164"/>
    <w:p w14:paraId="3D005001">
      <w:pPr>
        <w:pStyle w:val="5"/>
        <w:numPr>
          <w:ilvl w:val="1"/>
          <w:numId w:val="0"/>
        </w:numPr>
        <w:tabs>
          <w:tab w:val="clear" w:pos="1440"/>
        </w:tabs>
        <w:ind w:left="720"/>
        <w:jc w:val="center"/>
      </w:pPr>
      <w:bookmarkStart w:id="165" w:name="_Toc28567"/>
      <w:r>
        <w:rPr>
          <w:rFonts w:hint="eastAsia"/>
        </w:rPr>
        <w:t>第四节  提升环境风险防范能力</w:t>
      </w:r>
      <w:bookmarkEnd w:id="165"/>
    </w:p>
    <w:p w14:paraId="500A1586">
      <w:pPr>
        <w:spacing w:line="580" w:lineRule="exact"/>
        <w:ind w:firstLine="643" w:firstLineChars="200"/>
        <w:outlineLvl w:val="2"/>
        <w:rPr>
          <w:rFonts w:ascii="Times New Roman" w:hAnsi="Times New Roman" w:eastAsia="楷体_GB2312" w:cs="Times New Roman"/>
          <w:b/>
          <w:bCs/>
          <w:sz w:val="32"/>
          <w:szCs w:val="32"/>
        </w:rPr>
      </w:pPr>
      <w:r>
        <w:rPr>
          <w:rFonts w:hint="eastAsia" w:ascii="Times New Roman" w:hAnsi="Times New Roman" w:eastAsia="楷体_GB2312" w:cs="Times New Roman"/>
          <w:b/>
          <w:bCs/>
          <w:sz w:val="32"/>
          <w:szCs w:val="32"/>
        </w:rPr>
        <w:t>（一）</w:t>
      </w:r>
      <w:r>
        <w:rPr>
          <w:rFonts w:ascii="Times New Roman" w:hAnsi="Times New Roman" w:eastAsia="楷体_GB2312" w:cs="Times New Roman"/>
          <w:b/>
          <w:bCs/>
          <w:sz w:val="32"/>
          <w:szCs w:val="32"/>
        </w:rPr>
        <w:t>增强</w:t>
      </w:r>
      <w:r>
        <w:rPr>
          <w:rFonts w:hint="eastAsia" w:ascii="Times New Roman" w:hAnsi="Times New Roman" w:eastAsia="楷体_GB2312" w:cs="Times New Roman"/>
          <w:b/>
          <w:bCs/>
          <w:sz w:val="32"/>
          <w:szCs w:val="32"/>
        </w:rPr>
        <w:t>环境风险防范</w:t>
      </w:r>
      <w:r>
        <w:rPr>
          <w:rFonts w:ascii="Times New Roman" w:hAnsi="Times New Roman" w:eastAsia="楷体_GB2312" w:cs="Times New Roman"/>
          <w:b/>
          <w:bCs/>
          <w:sz w:val="32"/>
          <w:szCs w:val="32"/>
        </w:rPr>
        <w:t>能力</w:t>
      </w:r>
    </w:p>
    <w:p w14:paraId="2DE88362">
      <w:pPr>
        <w:adjustRightInd w:val="0"/>
        <w:snapToGrid w:val="0"/>
        <w:spacing w:line="500" w:lineRule="exact"/>
        <w:ind w:firstLine="602" w:firstLineChars="200"/>
        <w:rPr>
          <w:rFonts w:ascii="Times New Roman" w:hAnsi="Times New Roman" w:eastAsia="仿宋_GB2312" w:cs="Times New Roman"/>
          <w:sz w:val="30"/>
          <w:szCs w:val="30"/>
          <w:lang w:val="zh-CN"/>
        </w:rPr>
      </w:pPr>
      <w:r>
        <w:rPr>
          <w:rFonts w:ascii="Times New Roman" w:hAnsi="Times New Roman" w:eastAsia="仿宋_GB2312" w:cs="Times New Roman"/>
          <w:b/>
          <w:bCs/>
          <w:sz w:val="30"/>
          <w:szCs w:val="30"/>
        </w:rPr>
        <w:t>核与辐射安全监管。</w:t>
      </w:r>
      <w:r>
        <w:rPr>
          <w:rFonts w:hint="eastAsia" w:ascii="Times New Roman" w:hAnsi="Times New Roman" w:eastAsia="仿宋_GB2312" w:cs="Times New Roman"/>
          <w:sz w:val="30"/>
          <w:szCs w:val="30"/>
          <w:lang w:val="zh-CN"/>
        </w:rPr>
        <w:t>依法对辖区内核与辐射安全实施监督管理，对辖区内核技术利用、半生放射性矿物开发利用中的放射性污染防治进行日常监督检查。</w:t>
      </w:r>
    </w:p>
    <w:p w14:paraId="4C0507F0">
      <w:pPr>
        <w:adjustRightInd w:val="0"/>
        <w:snapToGrid w:val="0"/>
        <w:spacing w:line="500" w:lineRule="exact"/>
        <w:ind w:firstLine="602" w:firstLineChars="200"/>
        <w:rPr>
          <w:rFonts w:ascii="Times New Roman" w:hAnsi="Times New Roman" w:eastAsia="仿宋_GB2312" w:cs="Times New Roman"/>
          <w:sz w:val="30"/>
          <w:szCs w:val="30"/>
          <w:lang w:val="zh-CN"/>
        </w:rPr>
      </w:pPr>
      <w:r>
        <w:rPr>
          <w:rFonts w:ascii="Times New Roman" w:hAnsi="Times New Roman" w:eastAsia="仿宋_GB2312" w:cs="Times New Roman"/>
          <w:b/>
          <w:bCs/>
          <w:sz w:val="30"/>
          <w:szCs w:val="30"/>
        </w:rPr>
        <w:t>开展环境风险分级动态评价和预警。</w:t>
      </w:r>
      <w:r>
        <w:rPr>
          <w:rFonts w:hint="eastAsia" w:ascii="Times New Roman" w:hAnsi="Times New Roman" w:eastAsia="仿宋_GB2312" w:cs="Times New Roman"/>
          <w:sz w:val="30"/>
          <w:szCs w:val="30"/>
          <w:lang w:val="zh-CN"/>
        </w:rPr>
        <w:t>对建设项目在建设和运行期间，可能造成的人身安全与环境的影响和损害等进行风险评估和预警。</w:t>
      </w:r>
    </w:p>
    <w:p w14:paraId="780E6B02">
      <w:pPr>
        <w:adjustRightInd w:val="0"/>
        <w:snapToGrid w:val="0"/>
        <w:spacing w:line="500" w:lineRule="exact"/>
        <w:ind w:firstLine="602" w:firstLineChars="200"/>
        <w:rPr>
          <w:rFonts w:ascii="Times New Roman" w:hAnsi="Times New Roman" w:eastAsia="仿宋_GB2312" w:cs="Times New Roman"/>
          <w:sz w:val="30"/>
          <w:szCs w:val="30"/>
          <w:lang w:val="zh-CN"/>
        </w:rPr>
      </w:pPr>
      <w:r>
        <w:rPr>
          <w:rFonts w:ascii="Times New Roman" w:hAnsi="Times New Roman" w:eastAsia="仿宋_GB2312" w:cs="Times New Roman"/>
          <w:b/>
          <w:bCs/>
          <w:sz w:val="30"/>
          <w:szCs w:val="30"/>
        </w:rPr>
        <w:t>建立环境风险防范与应急管理机制。</w:t>
      </w:r>
      <w:r>
        <w:rPr>
          <w:rFonts w:hint="eastAsia" w:ascii="Times New Roman" w:hAnsi="Times New Roman" w:eastAsia="仿宋_GB2312" w:cs="Times New Roman"/>
          <w:sz w:val="30"/>
          <w:szCs w:val="30"/>
          <w:lang w:val="zh-CN"/>
        </w:rPr>
        <w:t>建立环境风险防范与突发环境事件应急管理机制，提高洛隆县应对涉及公共危机的突发环境事件的能力，构建政府主导、部门协调、分级负责，社会参与的环境应急管理体制，建立跨区域，跨部门的突发环境事件应急联动机制。</w:t>
      </w:r>
    </w:p>
    <w:p w14:paraId="5C2C3059">
      <w:pPr>
        <w:spacing w:line="580" w:lineRule="exact"/>
        <w:ind w:firstLine="602" w:firstLineChars="200"/>
        <w:outlineLvl w:val="2"/>
        <w:rPr>
          <w:rFonts w:ascii="Times New Roman" w:hAnsi="Times New Roman" w:eastAsia="楷体_GB2312" w:cs="Times New Roman"/>
          <w:b/>
          <w:bCs/>
          <w:sz w:val="30"/>
          <w:szCs w:val="30"/>
        </w:rPr>
      </w:pPr>
      <w:r>
        <w:rPr>
          <w:rFonts w:hint="eastAsia" w:ascii="Times New Roman" w:hAnsi="Times New Roman" w:eastAsia="楷体_GB2312" w:cs="Times New Roman"/>
          <w:b/>
          <w:bCs/>
          <w:sz w:val="30"/>
          <w:szCs w:val="30"/>
        </w:rPr>
        <w:t>（二）</w:t>
      </w:r>
      <w:r>
        <w:rPr>
          <w:rFonts w:ascii="Times New Roman" w:hAnsi="Times New Roman" w:eastAsia="楷体_GB2312" w:cs="Times New Roman"/>
          <w:b/>
          <w:bCs/>
          <w:sz w:val="30"/>
          <w:szCs w:val="30"/>
        </w:rPr>
        <w:t>增强自然灾害</w:t>
      </w:r>
      <w:r>
        <w:rPr>
          <w:rFonts w:hint="eastAsia" w:ascii="Times New Roman" w:hAnsi="Times New Roman" w:eastAsia="楷体_GB2312" w:cs="Times New Roman"/>
          <w:b/>
          <w:bCs/>
          <w:sz w:val="30"/>
          <w:szCs w:val="30"/>
        </w:rPr>
        <w:t>防治</w:t>
      </w:r>
      <w:r>
        <w:rPr>
          <w:rFonts w:ascii="Times New Roman" w:hAnsi="Times New Roman" w:eastAsia="楷体_GB2312" w:cs="Times New Roman"/>
          <w:b/>
          <w:bCs/>
          <w:sz w:val="30"/>
          <w:szCs w:val="30"/>
        </w:rPr>
        <w:t>能力</w:t>
      </w:r>
    </w:p>
    <w:p w14:paraId="2647B3A8">
      <w:pPr>
        <w:adjustRightInd w:val="0"/>
        <w:snapToGrid w:val="0"/>
        <w:spacing w:line="500" w:lineRule="exact"/>
        <w:ind w:firstLine="602" w:firstLineChars="200"/>
        <w:rPr>
          <w:rFonts w:ascii="Times New Roman" w:hAnsi="Times New Roman" w:eastAsia="仿宋_GB2312" w:cs="Times New Roman"/>
          <w:sz w:val="30"/>
          <w:szCs w:val="30"/>
          <w:lang w:val="zh-CN"/>
        </w:rPr>
      </w:pPr>
      <w:r>
        <w:rPr>
          <w:rFonts w:ascii="Times New Roman" w:hAnsi="Times New Roman" w:eastAsia="仿宋_GB2312" w:cs="Times New Roman"/>
          <w:b/>
          <w:bCs/>
          <w:sz w:val="30"/>
          <w:szCs w:val="30"/>
        </w:rPr>
        <w:t>增强自然灾害预防预警能力</w:t>
      </w:r>
      <w:r>
        <w:rPr>
          <w:rFonts w:hint="eastAsia" w:ascii="Times New Roman" w:hAnsi="Times New Roman" w:eastAsia="仿宋_GB2312" w:cs="Times New Roman"/>
          <w:b/>
          <w:bCs/>
          <w:sz w:val="30"/>
          <w:szCs w:val="30"/>
        </w:rPr>
        <w:t>。</w:t>
      </w:r>
      <w:r>
        <w:rPr>
          <w:rFonts w:hint="eastAsia" w:ascii="Times New Roman" w:hAnsi="Times New Roman" w:eastAsia="仿宋_GB2312" w:cs="Times New Roman"/>
          <w:sz w:val="30"/>
          <w:szCs w:val="30"/>
          <w:lang w:val="zh-CN"/>
        </w:rPr>
        <w:t>建立自然灾害易发区调查评价、群测群防、监测预警体系，加强地质、洪涝等灾害隐患排查，完善自然灾害灾情快速评估、上报和发布制度，加强防灾减灾信息互通共享，全面提高自然灾害综合预警能力。按照“三避让”原则，划定灾害重点防范区，加强山洪、滑坡、崩塌、泥石流等地质灾害评估、监测和预警，提高灾害监测预警水平。建立健全水文气象观测系统、地震预警系统、气象灾害监测预警体系和生物病虫害防、预警监测体系，提升防灾减灾能力。加快建设县乡两级救灾物资储备体系，推进应急物资片区储备库、城乡疏散场地和避险场所建设。加强防灾减灾知识教育和宣传，开展地灾科普宣传和应急演练，强化公众防灾避险意识。</w:t>
      </w:r>
    </w:p>
    <w:p w14:paraId="27C3E809">
      <w:pPr>
        <w:adjustRightInd w:val="0"/>
        <w:snapToGrid w:val="0"/>
        <w:spacing w:line="500" w:lineRule="exact"/>
        <w:ind w:firstLine="602" w:firstLineChars="200"/>
        <w:rPr>
          <w:rFonts w:ascii="Times New Roman" w:hAnsi="Times New Roman" w:eastAsia="仿宋_GB2312" w:cs="Times New Roman"/>
          <w:sz w:val="30"/>
          <w:szCs w:val="30"/>
          <w:lang w:val="zh-CN"/>
        </w:rPr>
      </w:pPr>
      <w:r>
        <w:rPr>
          <w:rFonts w:hint="eastAsia" w:ascii="Times New Roman" w:hAnsi="Times New Roman" w:eastAsia="仿宋_GB2312" w:cs="Times New Roman"/>
          <w:b/>
          <w:bCs/>
          <w:sz w:val="30"/>
          <w:szCs w:val="30"/>
        </w:rPr>
        <w:t>提高重大灾害治理能力。</w:t>
      </w:r>
      <w:r>
        <w:rPr>
          <w:rFonts w:hint="eastAsia" w:ascii="Times New Roman" w:hAnsi="Times New Roman" w:eastAsia="仿宋_GB2312" w:cs="Times New Roman"/>
          <w:sz w:val="30"/>
          <w:szCs w:val="30"/>
          <w:lang w:val="zh-CN"/>
        </w:rPr>
        <w:t>结合全县自然灾害发生特征，加强地质、气象、旱洪、地震等灾害防治，推进综合减灾示范工程建设，提高自然灾害综合防治能力和水平。建立地质灾害防治体系，依据地质灾害调查成果，建立全县地质灾害防治动态项目库，将每个地质灾害点针对性地纳入工程治理、排危除险、避险搬迁项目，按照轻重缓急分年度实施。对新增地质灾害隐患点补充入项目库。建立地质灾害防治工作新机制，通过全面普查、科学防灾、综合治理，最大限度地避免和减少地质灾害对人民生命财产的危害，为社会经济发展提供安全的地质环境保障。</w:t>
      </w:r>
    </w:p>
    <w:p w14:paraId="21A956FF">
      <w:pPr>
        <w:adjustRightInd w:val="0"/>
        <w:snapToGrid w:val="0"/>
        <w:spacing w:line="500" w:lineRule="exact"/>
        <w:ind w:firstLine="602" w:firstLineChars="200"/>
        <w:rPr>
          <w:rFonts w:ascii="Times New Roman" w:hAnsi="Times New Roman" w:eastAsia="仿宋_GB2312" w:cs="Times New Roman"/>
          <w:sz w:val="30"/>
          <w:szCs w:val="30"/>
          <w:lang w:val="zh-CN"/>
        </w:rPr>
      </w:pPr>
      <w:r>
        <w:rPr>
          <w:rFonts w:hint="eastAsia" w:ascii="Times New Roman" w:hAnsi="Times New Roman" w:eastAsia="仿宋_GB2312" w:cs="Times New Roman"/>
          <w:b/>
          <w:bCs/>
          <w:sz w:val="30"/>
          <w:szCs w:val="30"/>
        </w:rPr>
        <w:t>推进治水防水避损失。</w:t>
      </w:r>
      <w:r>
        <w:rPr>
          <w:rFonts w:hint="eastAsia" w:ascii="Times New Roman" w:hAnsi="Times New Roman" w:eastAsia="仿宋_GB2312" w:cs="Times New Roman"/>
          <w:sz w:val="30"/>
          <w:szCs w:val="30"/>
          <w:lang w:val="zh-CN"/>
        </w:rPr>
        <w:t>围绕“防、抢、撤、救”重点环节，结合自然灾害多发基本县情，科学谋划防洪疏沙水利项目，消除水务隐患。加强水利建设，深化中小河流治理等项目前期工作，扎实推进排涝、防洪治理基础设施建设项目，严格落实“依山傍水”村寨及脱贫户拉网排查工作，早评估、早监测、早预警。实施玉西乡、马曲拥、马利镇布许沟、康沙镇康沙曲等多处防洪堤工程。</w:t>
      </w:r>
    </w:p>
    <w:p w14:paraId="787B312D">
      <w:pPr>
        <w:spacing w:line="580" w:lineRule="exact"/>
        <w:jc w:val="center"/>
        <w:outlineLvl w:val="1"/>
        <w:rPr>
          <w:rFonts w:ascii="Times New Roman" w:hAnsi="Times New Roman" w:eastAsia="黑体" w:cs="Times New Roman"/>
          <w:bCs/>
          <w:sz w:val="32"/>
          <w:szCs w:val="32"/>
        </w:rPr>
      </w:pPr>
      <w:bookmarkStart w:id="166" w:name="_Toc15077"/>
      <w:bookmarkStart w:id="167" w:name="_Toc102080580"/>
      <w:r>
        <w:rPr>
          <w:rFonts w:hint="eastAsia" w:ascii="Times New Roman" w:hAnsi="Times New Roman" w:eastAsia="黑体" w:cs="Times New Roman"/>
          <w:bCs/>
          <w:sz w:val="32"/>
          <w:szCs w:val="32"/>
        </w:rPr>
        <w:t xml:space="preserve">第五节  </w:t>
      </w:r>
      <w:r>
        <w:rPr>
          <w:rFonts w:ascii="Times New Roman" w:hAnsi="Times New Roman" w:eastAsia="黑体" w:cs="Times New Roman"/>
          <w:bCs/>
          <w:sz w:val="32"/>
          <w:szCs w:val="32"/>
        </w:rPr>
        <w:t>推进环境治理体系和治理能力现代化</w:t>
      </w:r>
      <w:bookmarkEnd w:id="166"/>
      <w:bookmarkEnd w:id="167"/>
    </w:p>
    <w:p w14:paraId="291A828F">
      <w:pPr>
        <w:spacing w:line="580" w:lineRule="exact"/>
        <w:ind w:firstLine="602" w:firstLineChars="200"/>
        <w:outlineLvl w:val="2"/>
        <w:rPr>
          <w:rFonts w:ascii="Times New Roman" w:hAnsi="Times New Roman" w:eastAsia="楷体_GB2312" w:cs="Times New Roman"/>
          <w:b/>
          <w:bCs/>
          <w:sz w:val="30"/>
          <w:szCs w:val="30"/>
        </w:rPr>
      </w:pPr>
      <w:r>
        <w:rPr>
          <w:rFonts w:hint="eastAsia" w:ascii="Times New Roman" w:hAnsi="Times New Roman" w:eastAsia="楷体_GB2312" w:cs="Times New Roman"/>
          <w:b/>
          <w:bCs/>
          <w:sz w:val="30"/>
          <w:szCs w:val="30"/>
        </w:rPr>
        <w:t>（一）提升生态环境监测预警能力</w:t>
      </w:r>
    </w:p>
    <w:p w14:paraId="790F817C">
      <w:pPr>
        <w:adjustRightInd w:val="0"/>
        <w:snapToGrid w:val="0"/>
        <w:spacing w:line="500" w:lineRule="exact"/>
        <w:ind w:firstLine="602" w:firstLineChars="200"/>
        <w:rPr>
          <w:rFonts w:ascii="Times New Roman" w:hAnsi="Times New Roman" w:eastAsia="仿宋_GB2312" w:cs="Times New Roman"/>
          <w:sz w:val="30"/>
          <w:szCs w:val="30"/>
          <w:lang w:val="zh-CN"/>
        </w:rPr>
      </w:pPr>
      <w:r>
        <w:rPr>
          <w:rFonts w:hint="eastAsia" w:ascii="Times New Roman" w:hAnsi="Times New Roman" w:eastAsia="仿宋_GB2312" w:cs="Times New Roman"/>
          <w:b/>
          <w:bCs/>
          <w:sz w:val="30"/>
          <w:szCs w:val="30"/>
        </w:rPr>
        <w:t>建立生态环境监测网络体系。</w:t>
      </w:r>
      <w:r>
        <w:rPr>
          <w:rFonts w:hint="eastAsia" w:ascii="Times New Roman" w:hAnsi="Times New Roman" w:eastAsia="仿宋_GB2312" w:cs="Times New Roman"/>
          <w:sz w:val="30"/>
          <w:szCs w:val="30"/>
          <w:lang w:val="zh-CN"/>
        </w:rPr>
        <w:t>依据全县不同地理特征、自然条件、生态功能等的不同，选择森林、草地、湿地等典型生态系统，以典型自然保护区为生态监测站点布局重点，加强区域性生态监测站点建设，有机整合自然资源、水利、国土、科农、林草等部门的监测能力，建设包括环境质量、生物资源、农牧资源、水土保持、地质灾害、气象等内容的动态监测网络，定期开展森林、草地、湿地、水土流失、土地沙化、地质灾害等方面的生态调查，及时反馈各种生态环境要素的变化信息。</w:t>
      </w:r>
    </w:p>
    <w:p w14:paraId="62E77492">
      <w:pPr>
        <w:adjustRightInd w:val="0"/>
        <w:snapToGrid w:val="0"/>
        <w:spacing w:line="500" w:lineRule="exact"/>
        <w:ind w:firstLine="602" w:firstLineChars="200"/>
        <w:rPr>
          <w:rFonts w:ascii="Times New Roman" w:hAnsi="Times New Roman" w:eastAsia="仿宋_GB2312" w:cs="Times New Roman"/>
          <w:sz w:val="30"/>
          <w:szCs w:val="30"/>
          <w:lang w:val="zh-CN"/>
        </w:rPr>
      </w:pPr>
      <w:r>
        <w:rPr>
          <w:rFonts w:hint="eastAsia" w:ascii="Times New Roman" w:hAnsi="Times New Roman" w:eastAsia="仿宋_GB2312" w:cs="Times New Roman"/>
          <w:b/>
          <w:bCs/>
          <w:sz w:val="30"/>
          <w:szCs w:val="30"/>
        </w:rPr>
        <w:t>完善环境监测网络</w:t>
      </w:r>
      <w:r>
        <w:rPr>
          <w:rFonts w:hint="eastAsia" w:ascii="Times New Roman" w:hAnsi="Times New Roman" w:eastAsia="仿宋_GB2312" w:cs="Times New Roman"/>
          <w:sz w:val="30"/>
          <w:szCs w:val="30"/>
        </w:rPr>
        <w:t>。</w:t>
      </w:r>
      <w:r>
        <w:rPr>
          <w:rFonts w:hint="eastAsia" w:ascii="Times New Roman" w:hAnsi="Times New Roman" w:eastAsia="仿宋_GB2312" w:cs="Times New Roman"/>
          <w:sz w:val="30"/>
          <w:szCs w:val="30"/>
          <w:lang w:val="zh-CN"/>
        </w:rPr>
        <w:t>加强水源地水质监测能力建设，建立水源地水质监控体系，合理设置饮用水水源的监测断面、监测频次和监测指标。做到对全县所有城镇集中式饮用水水源地开展常规水质监测。购置安装监测仪器设备，建设全县10个乡镇自动化监测，实时监测乡镇大气环境，确保县域内大气质量不降低。补齐土壤监测点位，科学布设背景点、基础点位和风险点位，夯实土壤环境监测网络。推进预警监测，提升监测自动化、信息化水平，建设水质自动站。完善辐射环境监测网，开展核设施放射性现状监测与评价，加强核与辐射安全监管能力建设，建设核与辐射安全监管信息平台，开展放射性污染防治。</w:t>
      </w:r>
    </w:p>
    <w:p w14:paraId="646FEF10">
      <w:pPr>
        <w:spacing w:line="580" w:lineRule="exact"/>
        <w:ind w:firstLine="602" w:firstLineChars="200"/>
        <w:outlineLvl w:val="2"/>
        <w:rPr>
          <w:rFonts w:ascii="Times New Roman" w:hAnsi="Times New Roman" w:eastAsia="楷体_GB2312" w:cs="Times New Roman"/>
          <w:b/>
          <w:bCs/>
          <w:sz w:val="30"/>
          <w:szCs w:val="30"/>
        </w:rPr>
      </w:pPr>
      <w:r>
        <w:rPr>
          <w:rFonts w:hint="eastAsia" w:ascii="Times New Roman" w:hAnsi="Times New Roman" w:eastAsia="楷体_GB2312" w:cs="Times New Roman"/>
          <w:b/>
          <w:bCs/>
          <w:sz w:val="30"/>
          <w:szCs w:val="30"/>
        </w:rPr>
        <w:t>（二）强化生态环境综合执法体系建设</w:t>
      </w:r>
    </w:p>
    <w:p w14:paraId="3533137A">
      <w:pPr>
        <w:adjustRightInd w:val="0"/>
        <w:snapToGrid w:val="0"/>
        <w:spacing w:line="500" w:lineRule="exact"/>
        <w:ind w:firstLine="600" w:firstLineChars="200"/>
        <w:rPr>
          <w:rFonts w:ascii="Times New Roman" w:hAnsi="Times New Roman" w:eastAsia="仿宋_GB2312" w:cs="Times New Roman"/>
          <w:sz w:val="30"/>
          <w:szCs w:val="30"/>
          <w:lang w:val="zh-CN"/>
        </w:rPr>
      </w:pPr>
      <w:r>
        <w:rPr>
          <w:rFonts w:hint="eastAsia" w:ascii="Times New Roman" w:hAnsi="Times New Roman" w:eastAsia="仿宋_GB2312" w:cs="Times New Roman"/>
          <w:sz w:val="30"/>
          <w:szCs w:val="30"/>
          <w:lang w:val="zh-CN"/>
        </w:rPr>
        <w:t>加强环保监察执法机构队伍建设，有序整合各领域、部门环境监管力量，强化环境监察人员轮训。完善环境监察移动执法系统，全面提升环境监察执法能力。完善重点污染源自动监控体系建设，强化重点污染源监督监测，打造专业化环保执法铁军，落实执法人员持证上岗和资格管理制度、执法全过程记录制度等，完善信息共享和大数据执法监管机制。不断完善执法权利与责任清单，强化执法司法联动。推进乡镇执法能力建设，充实执法人员、配备基础执法装备，完善基础办公条件，强化网格化生态环境监管能力建设，落实乡镇生态环境保护执法。</w:t>
      </w:r>
    </w:p>
    <w:p w14:paraId="037F00EC">
      <w:pPr>
        <w:spacing w:line="580" w:lineRule="exact"/>
        <w:ind w:firstLine="602" w:firstLineChars="200"/>
        <w:outlineLvl w:val="2"/>
        <w:rPr>
          <w:rFonts w:ascii="Times New Roman" w:hAnsi="Times New Roman" w:eastAsia="楷体_GB2312" w:cs="Times New Roman"/>
          <w:b/>
          <w:bCs/>
          <w:sz w:val="30"/>
          <w:szCs w:val="30"/>
        </w:rPr>
      </w:pPr>
      <w:r>
        <w:rPr>
          <w:rFonts w:hint="eastAsia" w:ascii="Times New Roman" w:hAnsi="Times New Roman" w:eastAsia="楷体_GB2312" w:cs="Times New Roman"/>
          <w:b/>
          <w:bCs/>
          <w:sz w:val="30"/>
          <w:szCs w:val="30"/>
        </w:rPr>
        <w:t>（三）推进生态科技能力建设</w:t>
      </w:r>
    </w:p>
    <w:p w14:paraId="1EAB8318">
      <w:pPr>
        <w:adjustRightInd w:val="0"/>
        <w:snapToGrid w:val="0"/>
        <w:spacing w:line="500" w:lineRule="exact"/>
        <w:ind w:firstLine="600" w:firstLineChars="200"/>
        <w:rPr>
          <w:rFonts w:ascii="Times New Roman" w:hAnsi="Times New Roman" w:eastAsia="仿宋_GB2312" w:cs="Times New Roman"/>
          <w:sz w:val="30"/>
          <w:szCs w:val="30"/>
          <w:lang w:val="zh-CN"/>
        </w:rPr>
      </w:pPr>
      <w:r>
        <w:rPr>
          <w:rFonts w:hint="eastAsia" w:ascii="Times New Roman" w:hAnsi="Times New Roman" w:eastAsia="仿宋_GB2312" w:cs="Times New Roman"/>
          <w:sz w:val="30"/>
          <w:szCs w:val="30"/>
          <w:lang w:val="zh-CN"/>
        </w:rPr>
        <w:t>强化生态保护治理的科学技术支撑，运用遥感、无人机等技术平台，加大蓝天、碧水、净土保护力度。深入开展以草原“两化三害”治理、湿地保护修复等长江上游脆弱生态系统修复技术研究，切实加强珍稀动植物保护科学研究，积极运用高原地区污染防治技术。加强地质灾害、山洪、泥石流等自然灾害防治技术应用，积极推动森林草原防灭火、地质灾害防治等重大灾害自动化监测预警、救援装备和技术适用。创新应急培训演练和队伍拉练，提升应急应对实战能力和队伍素质。科学测算森林蓄积量、碳储量、年增固碳量等指标，努力提升碳汇能力，积极试点探索碳汇交易。</w:t>
      </w:r>
    </w:p>
    <w:bookmarkEnd w:id="159"/>
    <w:p w14:paraId="34D0FB19">
      <w:pPr>
        <w:rPr>
          <w:rFonts w:ascii="Times New Roman" w:hAnsi="Times New Roman" w:eastAsia="方正小标宋简体" w:cs="Times New Roman"/>
          <w:bCs/>
          <w:sz w:val="40"/>
          <w:szCs w:val="40"/>
        </w:rPr>
      </w:pPr>
      <w:bookmarkStart w:id="168" w:name="_Toc528335083"/>
      <w:bookmarkStart w:id="169" w:name="_Toc28326"/>
      <w:r>
        <w:rPr>
          <w:rFonts w:ascii="Times New Roman" w:hAnsi="Times New Roman" w:eastAsia="方正小标宋简体" w:cs="Times New Roman"/>
          <w:bCs/>
          <w:sz w:val="40"/>
          <w:szCs w:val="40"/>
        </w:rPr>
        <w:br w:type="page"/>
      </w:r>
    </w:p>
    <w:p w14:paraId="503DBD95">
      <w:pPr>
        <w:pageBreakBefore/>
        <w:spacing w:line="580" w:lineRule="exact"/>
        <w:jc w:val="center"/>
        <w:outlineLvl w:val="0"/>
        <w:rPr>
          <w:rFonts w:ascii="方正小标宋简体" w:hAnsi="Times New Roman" w:eastAsia="方正小标宋简体" w:cs="Times New Roman"/>
          <w:sz w:val="36"/>
          <w:szCs w:val="36"/>
        </w:rPr>
      </w:pPr>
      <w:bookmarkStart w:id="170" w:name="_Toc31656"/>
      <w:r>
        <w:rPr>
          <w:rFonts w:ascii="方正小标宋简体" w:hAnsi="Times New Roman" w:eastAsia="方正小标宋简体" w:cs="Times New Roman"/>
          <w:sz w:val="36"/>
          <w:szCs w:val="36"/>
        </w:rPr>
        <w:t xml:space="preserve">第六章 </w:t>
      </w:r>
      <w:bookmarkEnd w:id="168"/>
      <w:r>
        <w:rPr>
          <w:rFonts w:ascii="方正小标宋简体" w:hAnsi="Times New Roman" w:eastAsia="方正小标宋简体" w:cs="Times New Roman"/>
          <w:sz w:val="36"/>
          <w:szCs w:val="36"/>
        </w:rPr>
        <w:t>践行生态生活，打造优美生活环境</w:t>
      </w:r>
      <w:bookmarkEnd w:id="169"/>
      <w:bookmarkEnd w:id="170"/>
    </w:p>
    <w:p w14:paraId="3F672275">
      <w:pPr>
        <w:spacing w:line="580" w:lineRule="exact"/>
        <w:jc w:val="center"/>
        <w:outlineLvl w:val="1"/>
        <w:rPr>
          <w:rFonts w:ascii="Times New Roman" w:hAnsi="Times New Roman" w:eastAsia="黑体" w:cs="Times New Roman"/>
          <w:bCs/>
          <w:sz w:val="32"/>
          <w:szCs w:val="32"/>
        </w:rPr>
      </w:pPr>
      <w:bookmarkStart w:id="171" w:name="_Toc21068"/>
      <w:bookmarkStart w:id="172" w:name="_Toc528335084"/>
      <w:bookmarkStart w:id="173" w:name="_Toc8458"/>
    </w:p>
    <w:p w14:paraId="6B9ECC40">
      <w:pPr>
        <w:spacing w:line="580" w:lineRule="exact"/>
        <w:jc w:val="center"/>
        <w:outlineLvl w:val="1"/>
        <w:rPr>
          <w:rFonts w:ascii="Times New Roman" w:hAnsi="Times New Roman" w:eastAsia="黑体" w:cs="Times New Roman"/>
          <w:bCs/>
          <w:sz w:val="32"/>
          <w:szCs w:val="32"/>
        </w:rPr>
      </w:pPr>
      <w:r>
        <w:rPr>
          <w:rFonts w:ascii="Times New Roman" w:hAnsi="Times New Roman" w:eastAsia="黑体" w:cs="Times New Roman"/>
          <w:bCs/>
          <w:sz w:val="32"/>
          <w:szCs w:val="32"/>
        </w:rPr>
        <w:t>第一节  完善城乡体系建设</w:t>
      </w:r>
      <w:bookmarkEnd w:id="171"/>
      <w:bookmarkEnd w:id="172"/>
      <w:bookmarkEnd w:id="173"/>
    </w:p>
    <w:p w14:paraId="460EAC42">
      <w:pPr>
        <w:spacing w:line="580" w:lineRule="exact"/>
        <w:ind w:firstLine="602" w:firstLineChars="200"/>
        <w:outlineLvl w:val="2"/>
        <w:rPr>
          <w:rFonts w:ascii="Times New Roman" w:hAnsi="Times New Roman" w:eastAsia="楷体_GB2312" w:cs="Times New Roman"/>
          <w:b/>
          <w:bCs/>
          <w:sz w:val="30"/>
          <w:szCs w:val="30"/>
        </w:rPr>
      </w:pPr>
      <w:r>
        <w:rPr>
          <w:rFonts w:ascii="Times New Roman" w:hAnsi="Times New Roman" w:eastAsia="楷体_GB2312" w:cs="Times New Roman"/>
          <w:b/>
          <w:bCs/>
          <w:sz w:val="30"/>
          <w:szCs w:val="30"/>
        </w:rPr>
        <w:t>（一）</w:t>
      </w:r>
      <w:r>
        <w:rPr>
          <w:rFonts w:hint="eastAsia" w:ascii="Times New Roman" w:hAnsi="Times New Roman" w:eastAsia="楷体_GB2312" w:cs="Times New Roman"/>
          <w:b/>
          <w:bCs/>
          <w:sz w:val="30"/>
          <w:szCs w:val="30"/>
        </w:rPr>
        <w:t>构建新型城乡体系</w:t>
      </w:r>
    </w:p>
    <w:p w14:paraId="3BF3474E">
      <w:pPr>
        <w:adjustRightInd w:val="0"/>
        <w:snapToGrid w:val="0"/>
        <w:spacing w:line="500" w:lineRule="exact"/>
        <w:ind w:firstLine="600" w:firstLineChars="200"/>
        <w:rPr>
          <w:rFonts w:ascii="Times New Roman" w:hAnsi="Times New Roman" w:eastAsia="仿宋_GB2312" w:cs="Times New Roman"/>
          <w:sz w:val="30"/>
          <w:szCs w:val="30"/>
          <w:lang w:val="zh-CN"/>
        </w:rPr>
      </w:pPr>
      <w:r>
        <w:rPr>
          <w:rFonts w:hint="eastAsia" w:ascii="Times New Roman" w:hAnsi="Times New Roman" w:eastAsia="仿宋_GB2312" w:cs="Times New Roman"/>
          <w:sz w:val="30"/>
          <w:szCs w:val="30"/>
          <w:lang w:val="zh-CN"/>
        </w:rPr>
        <w:t>推进产城一体，做优城市、做特小镇、做美乡村，构建以县城为发展核、特色小镇为带动极、特色优势示范村为辐射点的三级联动新型城乡体系。强化中心城区和重点镇的辐射带动功能和人口聚集能力，加快推进区域功能突出的重点乡镇建设，形成区域中心，包括马利镇、康沙镇、硕督镇，重点抓好硕督历史文化名镇建设，打造一批特色小镇。推进具有农牧产品集散性质的中心集镇建设，包括俄西乡、腊久乡和新荣乡。以藏东民居、品质洛隆为依托，开发建设一批乡村旅游综合体。全域推进特色鲜明的美丽乡村建设，建设以田园生态为特征的宜居村庄，打造一批示范村。构建工农互促、城乡互补、全面融合、共同繁荣的新型城乡关系，推动“1城多镇N村”农旅“三融一体城乡共同体”建设，形成洛隆县“县城（核心）——中心乡镇（特色小镇）——示范村（田园综合体）”的城乡空间结构。。</w:t>
      </w:r>
    </w:p>
    <w:p w14:paraId="7F034151">
      <w:pPr>
        <w:spacing w:before="1" w:after="1" w:line="580" w:lineRule="exact"/>
        <w:ind w:firstLine="602" w:firstLineChars="200"/>
        <w:outlineLvl w:val="2"/>
        <w:rPr>
          <w:rFonts w:ascii="Times New Roman" w:hAnsi="Times New Roman" w:eastAsia="楷体_GB2312" w:cs="Times New Roman"/>
          <w:b/>
          <w:bCs/>
          <w:sz w:val="30"/>
          <w:szCs w:val="30"/>
        </w:rPr>
      </w:pPr>
      <w:bookmarkStart w:id="174" w:name="_Toc563"/>
      <w:r>
        <w:rPr>
          <w:rFonts w:ascii="Times New Roman" w:hAnsi="Times New Roman" w:eastAsia="楷体_GB2312" w:cs="Times New Roman"/>
          <w:b/>
          <w:bCs/>
          <w:sz w:val="30"/>
          <w:szCs w:val="30"/>
        </w:rPr>
        <w:t>（</w:t>
      </w:r>
      <w:r>
        <w:rPr>
          <w:rFonts w:hint="eastAsia" w:ascii="Times New Roman" w:hAnsi="Times New Roman" w:eastAsia="楷体_GB2312" w:cs="Times New Roman"/>
          <w:b/>
          <w:bCs/>
          <w:sz w:val="30"/>
          <w:szCs w:val="30"/>
        </w:rPr>
        <w:t>二</w:t>
      </w:r>
      <w:r>
        <w:rPr>
          <w:rFonts w:ascii="Times New Roman" w:hAnsi="Times New Roman" w:eastAsia="楷体_GB2312" w:cs="Times New Roman"/>
          <w:b/>
          <w:bCs/>
          <w:sz w:val="30"/>
          <w:szCs w:val="30"/>
        </w:rPr>
        <w:t>）</w:t>
      </w:r>
      <w:bookmarkEnd w:id="174"/>
      <w:r>
        <w:rPr>
          <w:rFonts w:hint="eastAsia" w:ascii="Times New Roman" w:hAnsi="Times New Roman" w:eastAsia="楷体_GB2312" w:cs="Times New Roman"/>
          <w:b/>
          <w:bCs/>
          <w:sz w:val="30"/>
          <w:szCs w:val="30"/>
        </w:rPr>
        <w:t>促进区域统筹协调发展</w:t>
      </w:r>
    </w:p>
    <w:p w14:paraId="3AEDB34B">
      <w:pPr>
        <w:adjustRightInd w:val="0"/>
        <w:snapToGrid w:val="0"/>
        <w:spacing w:line="500" w:lineRule="exact"/>
        <w:ind w:firstLine="600" w:firstLineChars="200"/>
        <w:rPr>
          <w:rFonts w:ascii="Times New Roman" w:hAnsi="Times New Roman" w:eastAsia="仿宋_GB2312" w:cs="Times New Roman"/>
          <w:sz w:val="30"/>
          <w:szCs w:val="30"/>
          <w:lang w:val="zh-CN"/>
        </w:rPr>
      </w:pPr>
      <w:r>
        <w:rPr>
          <w:rFonts w:hint="eastAsia" w:ascii="Times New Roman" w:hAnsi="Times New Roman" w:eastAsia="仿宋_GB2312" w:cs="Times New Roman"/>
          <w:sz w:val="30"/>
          <w:szCs w:val="30"/>
          <w:lang w:val="zh-CN"/>
        </w:rPr>
        <w:t>坚持实施区域协调发展战略，围绕“五地一家园”发展定位，着力构建“一核两带三片”发展新格局。</w:t>
      </w:r>
    </w:p>
    <w:p w14:paraId="4C040941">
      <w:pPr>
        <w:adjustRightInd w:val="0"/>
        <w:snapToGrid w:val="0"/>
        <w:spacing w:line="500" w:lineRule="exact"/>
        <w:ind w:firstLine="600" w:firstLineChars="200"/>
        <w:rPr>
          <w:rFonts w:ascii="Times New Roman" w:hAnsi="Times New Roman" w:eastAsia="仿宋_GB2312" w:cs="Times New Roman"/>
          <w:sz w:val="30"/>
          <w:szCs w:val="30"/>
          <w:lang w:val="zh-CN"/>
        </w:rPr>
      </w:pPr>
      <w:r>
        <w:rPr>
          <w:rFonts w:hint="eastAsia" w:ascii="Times New Roman" w:hAnsi="Times New Roman" w:eastAsia="仿宋_GB2312" w:cs="Times New Roman"/>
          <w:sz w:val="30"/>
          <w:szCs w:val="30"/>
          <w:lang w:val="zh-CN"/>
        </w:rPr>
        <w:t>一核引领。打造县城综合功能发展增长极核，实现人口和要素的规模聚集，优化城市布局，推进产城一体、产业聚集，打造面向内陆开放的区域重要枢纽节点，成为县域推进高质量发展的“发动机”。</w:t>
      </w:r>
    </w:p>
    <w:p w14:paraId="51E3E79E">
      <w:pPr>
        <w:adjustRightInd w:val="0"/>
        <w:snapToGrid w:val="0"/>
        <w:spacing w:line="500" w:lineRule="exact"/>
        <w:ind w:firstLine="600" w:firstLineChars="200"/>
        <w:rPr>
          <w:rFonts w:ascii="Times New Roman" w:hAnsi="Times New Roman" w:eastAsia="仿宋_GB2312" w:cs="Times New Roman"/>
          <w:sz w:val="30"/>
          <w:szCs w:val="30"/>
          <w:lang w:val="zh-CN"/>
        </w:rPr>
      </w:pPr>
      <w:r>
        <w:rPr>
          <w:rFonts w:hint="eastAsia" w:ascii="Times New Roman" w:hAnsi="Times New Roman" w:eastAsia="仿宋_GB2312" w:cs="Times New Roman"/>
          <w:sz w:val="30"/>
          <w:szCs w:val="30"/>
          <w:lang w:val="zh-CN"/>
        </w:rPr>
        <w:t>两带驱动。加快建设G349国道经济带，加强沿线边疆民族小镇和美丽乡村建设，加强文化旅游基础设施建设，大力发展特色种养业、食品加工业、民族手工业和文化产业，打造茶马古道中线文化和产业发展带。繁荣发展铁路经济带，以川藏铁路建设为契机，加快推进南部环形交通廊道和铁路站建设，完善物流设施，主动对接成渝地区双城经济圈，全面融入以国内大循环为主、国际国内双循环相互促进的新发展格局。</w:t>
      </w:r>
    </w:p>
    <w:p w14:paraId="2F396C8B">
      <w:pPr>
        <w:adjustRightInd w:val="0"/>
        <w:snapToGrid w:val="0"/>
        <w:spacing w:line="500" w:lineRule="exact"/>
        <w:ind w:firstLine="600" w:firstLineChars="200"/>
        <w:rPr>
          <w:rFonts w:ascii="Times New Roman" w:hAnsi="Times New Roman" w:eastAsia="仿宋_GB2312" w:cs="Times New Roman"/>
          <w:sz w:val="30"/>
          <w:szCs w:val="30"/>
          <w:lang w:val="zh-CN"/>
        </w:rPr>
      </w:pPr>
      <w:r>
        <w:rPr>
          <w:rFonts w:hint="eastAsia" w:ascii="Times New Roman" w:hAnsi="Times New Roman" w:eastAsia="仿宋_GB2312" w:cs="Times New Roman"/>
          <w:sz w:val="30"/>
          <w:szCs w:val="30"/>
          <w:lang w:val="zh-CN"/>
        </w:rPr>
        <w:t>三片联动。统筹推进三大特色功能片区建设。东部生态农旅与民俗文化片区，包括马利镇、白达乡、玉西乡、康沙镇、达龙乡，大力发展生态农业、生态旅游和民宿文化。西部现代农业与历史文化片区，包括俄西乡、新荣乡、孜托镇、硕督镇、中亦乡，大力发展以青稞为代表的现代农业和历史文化旅游业，重点打造俄西现代农业园和孜托镇现代农业园、硕督历史文化名镇，建成昌都市“粮仓”、红色旅游和民族团结示范基地。南部现代物流与雪山湖泊观光片区，包括腊久乡，大力发展现代物流业，重点打造环线交通和铁路站物流枢纽，加强生态环境保护建设，适度发展高原畜牧业，加强八美国家公园景区建设，发展雪山湖泊观光旅游。</w:t>
      </w:r>
    </w:p>
    <w:p w14:paraId="4905E9A9">
      <w:pPr>
        <w:spacing w:before="1" w:after="1" w:line="580" w:lineRule="exact"/>
        <w:ind w:firstLine="602" w:firstLineChars="200"/>
        <w:outlineLvl w:val="2"/>
        <w:rPr>
          <w:rFonts w:ascii="Times New Roman" w:hAnsi="Times New Roman" w:eastAsia="楷体_GB2312" w:cs="Times New Roman"/>
          <w:b/>
          <w:bCs/>
          <w:sz w:val="30"/>
          <w:szCs w:val="30"/>
        </w:rPr>
      </w:pPr>
      <w:bookmarkStart w:id="175" w:name="_Toc50831695"/>
      <w:bookmarkStart w:id="176" w:name="_Toc82021814"/>
      <w:bookmarkStart w:id="177" w:name="_Hlk50466641"/>
      <w:bookmarkStart w:id="178" w:name="_Toc528335085"/>
      <w:r>
        <w:rPr>
          <w:rFonts w:hint="eastAsia" w:ascii="Times New Roman" w:hAnsi="Times New Roman" w:eastAsia="楷体_GB2312" w:cs="Times New Roman"/>
          <w:b/>
          <w:bCs/>
          <w:sz w:val="30"/>
          <w:szCs w:val="30"/>
        </w:rPr>
        <w:t>（三）建设美丽宜居</w:t>
      </w:r>
      <w:bookmarkStart w:id="179" w:name="_Hlk50382061"/>
      <w:r>
        <w:rPr>
          <w:rFonts w:hint="eastAsia" w:ascii="Times New Roman" w:hAnsi="Times New Roman" w:eastAsia="楷体_GB2312" w:cs="Times New Roman"/>
          <w:b/>
          <w:bCs/>
          <w:sz w:val="30"/>
          <w:szCs w:val="30"/>
        </w:rPr>
        <w:t>乡村</w:t>
      </w:r>
      <w:bookmarkEnd w:id="175"/>
      <w:bookmarkEnd w:id="176"/>
      <w:bookmarkEnd w:id="179"/>
    </w:p>
    <w:bookmarkEnd w:id="177"/>
    <w:p w14:paraId="02E1D815">
      <w:pPr>
        <w:adjustRightInd w:val="0"/>
        <w:snapToGrid w:val="0"/>
        <w:spacing w:line="500" w:lineRule="exact"/>
        <w:ind w:firstLine="600" w:firstLineChars="200"/>
        <w:rPr>
          <w:rFonts w:ascii="Times New Roman" w:hAnsi="Times New Roman" w:eastAsia="仿宋_GB2312" w:cs="Times New Roman"/>
          <w:sz w:val="30"/>
          <w:szCs w:val="30"/>
          <w:lang w:val="zh-CN"/>
        </w:rPr>
      </w:pPr>
      <w:r>
        <w:rPr>
          <w:rFonts w:hint="eastAsia" w:ascii="Times New Roman" w:hAnsi="Times New Roman" w:eastAsia="仿宋_GB2312" w:cs="Times New Roman"/>
          <w:sz w:val="30"/>
          <w:szCs w:val="30"/>
          <w:lang w:val="zh-CN"/>
        </w:rPr>
        <w:t>加快推进村庄规划工作。积极有序推进“多规合一”实用性村庄规划编制，对有条件、有需求的村庄尽快实现村庄规划全覆盖。对暂时没有编制规划的村庄，严格按照县乡两级国土空间规划中确定的用途管制和建设管理要求进行建设。完善建设标准和规范，提高农房设计水平和建设质量，继续实施农村危房改造。加强村庄风貌引导，保护传统村落、传统民居和历史文化名村名镇，保护农村地区文化遗产遗迹，突出乡土特色和地域文化，建设立足乡土社会、富有地域特色、承载田园乡愁、体现现代文明的美丽乡村。到2025年，建成10个美丽乡村示范村、2个3A级及以上的美丽乡村景区。</w:t>
      </w:r>
    </w:p>
    <w:p w14:paraId="2D2B4F62">
      <w:pPr>
        <w:spacing w:line="580" w:lineRule="exact"/>
        <w:jc w:val="center"/>
        <w:outlineLvl w:val="1"/>
        <w:rPr>
          <w:rFonts w:ascii="Times New Roman" w:hAnsi="Times New Roman" w:eastAsia="黑体" w:cs="Times New Roman"/>
          <w:bCs/>
          <w:sz w:val="32"/>
          <w:szCs w:val="32"/>
        </w:rPr>
      </w:pPr>
      <w:bookmarkStart w:id="180" w:name="_Toc2355"/>
      <w:bookmarkStart w:id="181" w:name="_Toc16585"/>
      <w:r>
        <w:rPr>
          <w:rFonts w:ascii="Times New Roman" w:hAnsi="Times New Roman" w:eastAsia="黑体" w:cs="Times New Roman"/>
          <w:bCs/>
          <w:sz w:val="32"/>
          <w:szCs w:val="32"/>
        </w:rPr>
        <w:t xml:space="preserve">第二节  </w:t>
      </w:r>
      <w:bookmarkEnd w:id="178"/>
      <w:bookmarkEnd w:id="180"/>
      <w:r>
        <w:rPr>
          <w:rFonts w:hint="eastAsia" w:ascii="Times New Roman" w:hAnsi="Times New Roman" w:eastAsia="黑体" w:cs="Times New Roman"/>
          <w:bCs/>
          <w:sz w:val="32"/>
          <w:szCs w:val="32"/>
        </w:rPr>
        <w:t>提升基础设施保障</w:t>
      </w:r>
      <w:bookmarkEnd w:id="181"/>
    </w:p>
    <w:p w14:paraId="71912D74">
      <w:pPr>
        <w:spacing w:line="580" w:lineRule="exact"/>
        <w:ind w:firstLine="602" w:firstLineChars="200"/>
        <w:outlineLvl w:val="2"/>
        <w:rPr>
          <w:rFonts w:ascii="Times New Roman" w:hAnsi="Times New Roman" w:eastAsia="楷体_GB2312" w:cs="Times New Roman"/>
          <w:b/>
          <w:bCs/>
          <w:sz w:val="30"/>
          <w:szCs w:val="30"/>
        </w:rPr>
      </w:pPr>
      <w:r>
        <w:rPr>
          <w:rFonts w:ascii="Times New Roman" w:hAnsi="Times New Roman" w:eastAsia="楷体_GB2312" w:cs="Times New Roman"/>
          <w:b/>
          <w:bCs/>
          <w:sz w:val="30"/>
          <w:szCs w:val="30"/>
        </w:rPr>
        <w:t>（</w:t>
      </w:r>
      <w:r>
        <w:rPr>
          <w:rFonts w:hint="eastAsia" w:ascii="Times New Roman" w:hAnsi="Times New Roman" w:eastAsia="楷体_GB2312" w:cs="Times New Roman"/>
          <w:b/>
          <w:bCs/>
          <w:sz w:val="30"/>
          <w:szCs w:val="30"/>
        </w:rPr>
        <w:t>一</w:t>
      </w:r>
      <w:r>
        <w:rPr>
          <w:rFonts w:ascii="Times New Roman" w:hAnsi="Times New Roman" w:eastAsia="楷体_GB2312" w:cs="Times New Roman"/>
          <w:b/>
          <w:bCs/>
          <w:sz w:val="30"/>
          <w:szCs w:val="30"/>
        </w:rPr>
        <w:t>）</w:t>
      </w:r>
      <w:r>
        <w:rPr>
          <w:rFonts w:hint="eastAsia" w:ascii="Times New Roman" w:hAnsi="Times New Roman" w:eastAsia="楷体_GB2312" w:cs="Times New Roman"/>
          <w:b/>
          <w:bCs/>
          <w:sz w:val="30"/>
          <w:szCs w:val="30"/>
        </w:rPr>
        <w:t>构建畅通交通网络</w:t>
      </w:r>
    </w:p>
    <w:p w14:paraId="6989BD97">
      <w:pPr>
        <w:adjustRightInd w:val="0"/>
        <w:snapToGrid w:val="0"/>
        <w:spacing w:line="500" w:lineRule="exact"/>
        <w:ind w:firstLine="600" w:firstLineChars="200"/>
        <w:rPr>
          <w:rFonts w:ascii="Times New Roman" w:hAnsi="Times New Roman" w:eastAsia="仿宋_GB2312" w:cs="Times New Roman"/>
          <w:sz w:val="30"/>
          <w:szCs w:val="30"/>
          <w:lang w:val="zh-CN"/>
        </w:rPr>
      </w:pPr>
      <w:r>
        <w:rPr>
          <w:rFonts w:hint="eastAsia" w:ascii="Times New Roman" w:hAnsi="Times New Roman" w:eastAsia="仿宋_GB2312" w:cs="Times New Roman"/>
          <w:sz w:val="30"/>
          <w:szCs w:val="30"/>
          <w:lang w:val="zh-CN"/>
        </w:rPr>
        <w:t>实施交通外通工程。实施孜托镇至波密县倾多镇、新荣乡至丁青县桑多乡、马利镇至类乌齐县等三级公路项目，打通洛隆至波密、洛隆、类乌齐等重要断头路。加快推动国道349洛隆段升级改造，推动洛隆至邦达机场高等级公路建设，打通西湖村至俄西乡隧道、马利镇帕通公路至马利镇隧道2条重要隧道，连接藏南藏北通道。努力推动洛隆县铁路客运站项目和洛隆县城至腊久乡快速通道建设。</w:t>
      </w:r>
    </w:p>
    <w:p w14:paraId="643B2CD5">
      <w:pPr>
        <w:adjustRightInd w:val="0"/>
        <w:snapToGrid w:val="0"/>
        <w:spacing w:line="500" w:lineRule="exact"/>
        <w:ind w:firstLine="600" w:firstLineChars="200"/>
        <w:rPr>
          <w:rFonts w:ascii="Times New Roman" w:hAnsi="Times New Roman" w:eastAsia="仿宋_GB2312" w:cs="Times New Roman"/>
          <w:sz w:val="30"/>
          <w:szCs w:val="30"/>
          <w:lang w:val="zh-CN"/>
        </w:rPr>
      </w:pPr>
      <w:r>
        <w:rPr>
          <w:rFonts w:hint="eastAsia" w:ascii="Times New Roman" w:hAnsi="Times New Roman" w:eastAsia="仿宋_GB2312" w:cs="Times New Roman"/>
          <w:sz w:val="30"/>
          <w:szCs w:val="30"/>
          <w:lang w:val="zh-CN"/>
        </w:rPr>
        <w:t>实施交通内联工程。对孜托镇至格亚村、腊久乡至母许村、俄西乡至次琼村、国道349至俄西乡、国道349至白达乡等公路按三级沥青路标准进行升级改造，新建马利镇至达龙乡、马利镇至达龙乡等三级公路。建设一批产业路、园区路、旅游路，全面建成通村畅乡、安全便捷的“四好”农村路。推进城乡客运服务一体化，实现全部乡镇和具备条件的行政村通公交。力争到2025年，达到建制村通畅率、自然村通达率“双百”目标，营运客运车达到24辆。</w:t>
      </w:r>
    </w:p>
    <w:p w14:paraId="4D33E58F">
      <w:pPr>
        <w:spacing w:line="580" w:lineRule="exact"/>
        <w:ind w:firstLine="602" w:firstLineChars="200"/>
        <w:outlineLvl w:val="2"/>
        <w:rPr>
          <w:rFonts w:ascii="Times New Roman" w:hAnsi="Times New Roman" w:eastAsia="楷体_GB2312" w:cs="Times New Roman"/>
          <w:b/>
          <w:bCs/>
          <w:sz w:val="30"/>
          <w:szCs w:val="30"/>
        </w:rPr>
      </w:pPr>
      <w:r>
        <w:rPr>
          <w:rFonts w:ascii="Times New Roman" w:hAnsi="Times New Roman" w:eastAsia="楷体_GB2312" w:cs="Times New Roman"/>
          <w:b/>
          <w:bCs/>
          <w:sz w:val="30"/>
          <w:szCs w:val="30"/>
        </w:rPr>
        <w:t>（</w:t>
      </w:r>
      <w:r>
        <w:rPr>
          <w:rFonts w:hint="eastAsia" w:ascii="Times New Roman" w:hAnsi="Times New Roman" w:eastAsia="楷体_GB2312" w:cs="Times New Roman"/>
          <w:b/>
          <w:bCs/>
          <w:sz w:val="30"/>
          <w:szCs w:val="30"/>
        </w:rPr>
        <w:t>二</w:t>
      </w:r>
      <w:r>
        <w:rPr>
          <w:rFonts w:ascii="Times New Roman" w:hAnsi="Times New Roman" w:eastAsia="楷体_GB2312" w:cs="Times New Roman"/>
          <w:b/>
          <w:bCs/>
          <w:sz w:val="30"/>
          <w:szCs w:val="30"/>
        </w:rPr>
        <w:t>）</w:t>
      </w:r>
      <w:r>
        <w:rPr>
          <w:rFonts w:hint="eastAsia" w:ascii="Times New Roman" w:hAnsi="Times New Roman" w:eastAsia="楷体_GB2312" w:cs="Times New Roman"/>
          <w:b/>
          <w:bCs/>
          <w:sz w:val="30"/>
          <w:szCs w:val="30"/>
        </w:rPr>
        <w:t>完善水利基础设施</w:t>
      </w:r>
    </w:p>
    <w:p w14:paraId="5AFA744B">
      <w:pPr>
        <w:adjustRightInd w:val="0"/>
        <w:snapToGrid w:val="0"/>
        <w:spacing w:line="500" w:lineRule="exact"/>
        <w:ind w:firstLine="600" w:firstLineChars="200"/>
        <w:rPr>
          <w:rFonts w:ascii="Times New Roman" w:hAnsi="Times New Roman" w:eastAsia="仿宋_GB2312" w:cs="Times New Roman"/>
          <w:sz w:val="30"/>
          <w:szCs w:val="30"/>
          <w:lang w:val="zh-CN"/>
        </w:rPr>
      </w:pPr>
      <w:r>
        <w:rPr>
          <w:rFonts w:hint="eastAsia" w:ascii="Times New Roman" w:hAnsi="Times New Roman" w:eastAsia="仿宋_GB2312" w:cs="Times New Roman"/>
          <w:sz w:val="30"/>
          <w:szCs w:val="30"/>
          <w:lang w:val="zh-CN"/>
        </w:rPr>
        <w:t>提升饮水安全保障。加快推进供水城乡一体化建设，重点解决饮用水供水设施标准低、供水保障程度低等问题。进一步提高农村集中供水率、供水保证率、水质达标率。到2025年，全县农村（含自然村）自来水普及率达到99.5%。</w:t>
      </w:r>
    </w:p>
    <w:p w14:paraId="554C36D0">
      <w:pPr>
        <w:adjustRightInd w:val="0"/>
        <w:snapToGrid w:val="0"/>
        <w:spacing w:line="500" w:lineRule="exact"/>
        <w:ind w:firstLine="600" w:firstLineChars="200"/>
        <w:rPr>
          <w:rFonts w:ascii="Times New Roman" w:hAnsi="Times New Roman" w:eastAsia="仿宋_GB2312" w:cs="Times New Roman"/>
          <w:sz w:val="30"/>
          <w:szCs w:val="30"/>
          <w:lang w:val="zh-CN"/>
        </w:rPr>
      </w:pPr>
      <w:r>
        <w:rPr>
          <w:rFonts w:hint="eastAsia" w:ascii="Times New Roman" w:hAnsi="Times New Roman" w:eastAsia="仿宋_GB2312" w:cs="Times New Roman"/>
          <w:sz w:val="30"/>
          <w:szCs w:val="30"/>
          <w:lang w:val="zh-CN"/>
        </w:rPr>
        <w:t>加强防洪减灾体系建设。实施玉西乡、马利镇布许沟、康沙镇康沙曲、拉依村、洛隆新城区等处防洪堤建设，实施格谱曲河道治理及防洪堤建设，加强重点河道整治疏浚，提高防洪能力。加强山溪灾害防治、易灾地区水土保持和大中型水利水电工程地质灾害防控，完善水文基础设施和预警预报系统，提高综合防灾能力。</w:t>
      </w:r>
    </w:p>
    <w:p w14:paraId="67DFB409">
      <w:pPr>
        <w:spacing w:line="580" w:lineRule="exact"/>
        <w:ind w:firstLine="602" w:firstLineChars="200"/>
        <w:outlineLvl w:val="2"/>
        <w:rPr>
          <w:rFonts w:ascii="Times New Roman" w:hAnsi="Times New Roman" w:eastAsia="楷体_GB2312" w:cs="Times New Roman"/>
          <w:b/>
          <w:bCs/>
          <w:sz w:val="30"/>
          <w:szCs w:val="30"/>
        </w:rPr>
      </w:pPr>
      <w:r>
        <w:rPr>
          <w:rFonts w:hint="eastAsia" w:ascii="Times New Roman" w:hAnsi="Times New Roman" w:eastAsia="楷体_GB2312" w:cs="Times New Roman"/>
          <w:b/>
          <w:bCs/>
          <w:sz w:val="30"/>
          <w:szCs w:val="30"/>
        </w:rPr>
        <w:t>（三）完善能源基础设施</w:t>
      </w:r>
    </w:p>
    <w:p w14:paraId="0C0A9B62">
      <w:pPr>
        <w:adjustRightInd w:val="0"/>
        <w:snapToGrid w:val="0"/>
        <w:spacing w:line="500" w:lineRule="exact"/>
        <w:ind w:firstLine="600" w:firstLineChars="200"/>
        <w:rPr>
          <w:rFonts w:ascii="Times New Roman" w:hAnsi="Times New Roman" w:eastAsia="仿宋_GB2312" w:cs="Times New Roman"/>
          <w:sz w:val="30"/>
          <w:szCs w:val="30"/>
          <w:lang w:val="zh-CN"/>
        </w:rPr>
      </w:pPr>
      <w:r>
        <w:rPr>
          <w:rFonts w:hint="eastAsia" w:ascii="Times New Roman" w:hAnsi="Times New Roman" w:eastAsia="仿宋_GB2312" w:cs="Times New Roman"/>
          <w:sz w:val="30"/>
          <w:szCs w:val="30"/>
          <w:lang w:val="zh-CN"/>
        </w:rPr>
        <w:t>提高电力保障能力。加快城乡电网建设和升级改造，巩固强化110KV骨干电网，优化完善35KV电网，提高10KV配网“手拉手”供电比例，形成覆盖充分、保障有力的输配电网络。到2025年，全县农村（含自然村）电网覆盖率达到100%。</w:t>
      </w:r>
    </w:p>
    <w:p w14:paraId="0DF7B77A">
      <w:pPr>
        <w:adjustRightInd w:val="0"/>
        <w:snapToGrid w:val="0"/>
        <w:spacing w:line="500" w:lineRule="exact"/>
        <w:ind w:firstLine="600" w:firstLineChars="200"/>
        <w:rPr>
          <w:rFonts w:ascii="Times New Roman" w:hAnsi="Times New Roman" w:eastAsia="仿宋_GB2312" w:cs="Times New Roman"/>
          <w:sz w:val="30"/>
          <w:szCs w:val="30"/>
          <w:lang w:val="zh-CN"/>
        </w:rPr>
      </w:pPr>
      <w:r>
        <w:rPr>
          <w:rFonts w:hint="eastAsia" w:ascii="Times New Roman" w:hAnsi="Times New Roman" w:eastAsia="仿宋_GB2312" w:cs="Times New Roman"/>
          <w:sz w:val="30"/>
          <w:szCs w:val="30"/>
          <w:lang w:val="zh-CN"/>
        </w:rPr>
        <w:t>优化能源供给结构。推进天然气储配站、加气站及其相应附属设施建设。支持绿色能源示范村镇、绿色能源集中供热等重大工程建设，重点支持太阳能、地热能等技术的推广应用。</w:t>
      </w:r>
    </w:p>
    <w:p w14:paraId="734671A0">
      <w:pPr>
        <w:spacing w:line="580" w:lineRule="exact"/>
        <w:ind w:firstLine="602" w:firstLineChars="200"/>
        <w:outlineLvl w:val="2"/>
        <w:rPr>
          <w:rFonts w:ascii="Times New Roman" w:hAnsi="Times New Roman" w:eastAsia="楷体_GB2312" w:cs="Times New Roman"/>
          <w:b/>
          <w:bCs/>
          <w:sz w:val="30"/>
          <w:szCs w:val="30"/>
        </w:rPr>
      </w:pPr>
      <w:r>
        <w:rPr>
          <w:rFonts w:hint="eastAsia" w:ascii="Times New Roman" w:hAnsi="Times New Roman" w:eastAsia="楷体_GB2312" w:cs="Times New Roman"/>
          <w:b/>
          <w:bCs/>
          <w:sz w:val="30"/>
          <w:szCs w:val="30"/>
        </w:rPr>
        <w:t>（四）完善信息基础设施</w:t>
      </w:r>
    </w:p>
    <w:p w14:paraId="7081EAB4">
      <w:pPr>
        <w:adjustRightInd w:val="0"/>
        <w:snapToGrid w:val="0"/>
        <w:spacing w:line="500" w:lineRule="exact"/>
        <w:ind w:firstLine="600" w:firstLineChars="200"/>
        <w:rPr>
          <w:rFonts w:ascii="Times New Roman" w:hAnsi="Times New Roman" w:eastAsia="仿宋_GB2312" w:cs="Times New Roman"/>
          <w:sz w:val="30"/>
          <w:szCs w:val="30"/>
          <w:lang w:val="zh-CN"/>
        </w:rPr>
      </w:pPr>
      <w:r>
        <w:rPr>
          <w:rFonts w:hint="eastAsia" w:ascii="Times New Roman" w:hAnsi="Times New Roman" w:eastAsia="仿宋_GB2312" w:cs="Times New Roman"/>
          <w:sz w:val="30"/>
          <w:szCs w:val="30"/>
          <w:lang w:val="zh-CN"/>
        </w:rPr>
        <w:t>构建信息通信网络。加快电信网、广播电视网、互联网“三网”建设和升级改造，推进“三网融合”。扩大光纤宽带覆盖面，提升偏远地区、信号弱覆盖地区信息传输质量。适时开展下一代移动通信网络建设，实现4G或5G信号城乡全覆盖。</w:t>
      </w:r>
    </w:p>
    <w:p w14:paraId="4315E4AA">
      <w:pPr>
        <w:adjustRightInd w:val="0"/>
        <w:snapToGrid w:val="0"/>
        <w:spacing w:line="500" w:lineRule="exact"/>
        <w:ind w:firstLine="600" w:firstLineChars="200"/>
        <w:rPr>
          <w:rFonts w:ascii="Times New Roman" w:hAnsi="Times New Roman" w:eastAsia="仿宋_GB2312" w:cs="Times New Roman"/>
          <w:sz w:val="30"/>
          <w:szCs w:val="30"/>
          <w:lang w:val="zh-CN"/>
        </w:rPr>
      </w:pPr>
      <w:r>
        <w:rPr>
          <w:rFonts w:hint="eastAsia" w:ascii="Times New Roman" w:hAnsi="Times New Roman" w:eastAsia="仿宋_GB2312" w:cs="Times New Roman"/>
          <w:sz w:val="30"/>
          <w:szCs w:val="30"/>
          <w:lang w:val="zh-CN"/>
        </w:rPr>
        <w:t>深入推进信息化应用。在政务服务领域，以电子政务外网为平台，重点推进政务共享、行政审批、数据开放、信用体系、社会综合治理等信息系统建设，提高政务服务透明度及业务办理效率；在公共服务领域，着力打造信息惠民公共服务平台，构建以人为核心的智慧化服务体系；在产业发展领域，加快发展互联网+工业、互联网+农业和互联网+服务业，不断提升产业核心竞争力。</w:t>
      </w:r>
    </w:p>
    <w:p w14:paraId="39F22F8A">
      <w:pPr>
        <w:spacing w:line="580" w:lineRule="exact"/>
        <w:ind w:firstLine="602" w:firstLineChars="200"/>
        <w:outlineLvl w:val="2"/>
        <w:rPr>
          <w:rFonts w:ascii="Times New Roman" w:hAnsi="Times New Roman" w:eastAsia="楷体_GB2312" w:cs="Times New Roman"/>
          <w:b/>
          <w:bCs/>
          <w:sz w:val="30"/>
          <w:szCs w:val="30"/>
        </w:rPr>
      </w:pPr>
      <w:r>
        <w:rPr>
          <w:rFonts w:hint="eastAsia" w:ascii="Times New Roman" w:hAnsi="Times New Roman" w:eastAsia="楷体_GB2312" w:cs="Times New Roman"/>
          <w:b/>
          <w:bCs/>
          <w:sz w:val="30"/>
          <w:szCs w:val="30"/>
        </w:rPr>
        <w:t>（五）强化防灾减灾设施</w:t>
      </w:r>
    </w:p>
    <w:p w14:paraId="1B169C8C">
      <w:pPr>
        <w:adjustRightInd w:val="0"/>
        <w:snapToGrid w:val="0"/>
        <w:spacing w:line="500" w:lineRule="exact"/>
        <w:ind w:firstLine="600" w:firstLineChars="200"/>
        <w:rPr>
          <w:rFonts w:ascii="Times New Roman" w:hAnsi="Times New Roman" w:eastAsia="仿宋_GB2312" w:cs="Times New Roman"/>
          <w:sz w:val="30"/>
          <w:szCs w:val="30"/>
          <w:lang w:val="zh-CN"/>
        </w:rPr>
      </w:pPr>
      <w:r>
        <w:rPr>
          <w:rFonts w:hint="eastAsia" w:ascii="Times New Roman" w:hAnsi="Times New Roman" w:eastAsia="仿宋_GB2312" w:cs="Times New Roman"/>
          <w:sz w:val="30"/>
          <w:szCs w:val="30"/>
          <w:lang w:val="zh-CN"/>
        </w:rPr>
        <w:t>提高防灾减灾救灾能力。积极推动地震、水文、气象等监测网络和预警信息发布系统建设，建立上下联动的防灾减灾应急体制机制。推进自然灾害救助物资储备体系建设，在目前无救灾设施的9个乡镇建设10个救灾物资储备库。</w:t>
      </w:r>
    </w:p>
    <w:p w14:paraId="4D80716A">
      <w:pPr>
        <w:adjustRightInd w:val="0"/>
        <w:snapToGrid w:val="0"/>
        <w:spacing w:line="500" w:lineRule="exact"/>
        <w:ind w:firstLine="600" w:firstLineChars="200"/>
        <w:rPr>
          <w:rFonts w:ascii="Times New Roman" w:hAnsi="Times New Roman" w:eastAsia="仿宋_GB2312" w:cs="Times New Roman"/>
          <w:sz w:val="30"/>
          <w:szCs w:val="30"/>
          <w:lang w:val="zh-CN"/>
        </w:rPr>
      </w:pPr>
      <w:r>
        <w:rPr>
          <w:rFonts w:hint="eastAsia" w:ascii="Times New Roman" w:hAnsi="Times New Roman" w:eastAsia="仿宋_GB2312" w:cs="Times New Roman"/>
          <w:sz w:val="30"/>
          <w:szCs w:val="30"/>
          <w:lang w:val="zh-CN"/>
        </w:rPr>
        <w:t>加强避难疏散场所建设。整合应急资源，利用现有公共设施、旅游设施和人防工程等，结合城镇规划和社区建设，在县城和人口密集的乡镇，建设一批防空防灾人口疏散场所。</w:t>
      </w:r>
    </w:p>
    <w:p w14:paraId="538BBF15">
      <w:pPr>
        <w:pStyle w:val="5"/>
        <w:numPr>
          <w:ilvl w:val="1"/>
          <w:numId w:val="0"/>
        </w:numPr>
        <w:tabs>
          <w:tab w:val="clear" w:pos="1440"/>
        </w:tabs>
        <w:ind w:left="720"/>
        <w:jc w:val="center"/>
      </w:pPr>
      <w:bookmarkStart w:id="182" w:name="_Toc9867"/>
      <w:r>
        <w:t>第</w:t>
      </w:r>
      <w:r>
        <w:rPr>
          <w:rFonts w:hint="eastAsia"/>
        </w:rPr>
        <w:t>三</w:t>
      </w:r>
      <w:r>
        <w:t xml:space="preserve">节  </w:t>
      </w:r>
      <w:r>
        <w:rPr>
          <w:rFonts w:hint="eastAsia"/>
        </w:rPr>
        <w:t>改善提升城乡环境建设</w:t>
      </w:r>
      <w:bookmarkEnd w:id="182"/>
    </w:p>
    <w:p w14:paraId="332E5EB9">
      <w:pPr>
        <w:spacing w:line="580" w:lineRule="exact"/>
        <w:ind w:firstLine="602" w:firstLineChars="200"/>
        <w:outlineLvl w:val="2"/>
        <w:rPr>
          <w:rFonts w:ascii="Times New Roman" w:hAnsi="Times New Roman" w:eastAsia="楷体_GB2312" w:cs="Times New Roman"/>
          <w:b/>
          <w:bCs/>
          <w:sz w:val="30"/>
          <w:szCs w:val="30"/>
        </w:rPr>
      </w:pPr>
      <w:r>
        <w:rPr>
          <w:rFonts w:hint="eastAsia" w:ascii="Times New Roman" w:hAnsi="Times New Roman" w:eastAsia="楷体_GB2312" w:cs="Times New Roman"/>
          <w:b/>
          <w:bCs/>
          <w:sz w:val="30"/>
          <w:szCs w:val="30"/>
        </w:rPr>
        <w:t>（一）</w:t>
      </w:r>
      <w:r>
        <w:rPr>
          <w:rFonts w:ascii="Times New Roman" w:hAnsi="Times New Roman" w:eastAsia="楷体_GB2312" w:cs="Times New Roman"/>
          <w:b/>
          <w:bCs/>
          <w:sz w:val="30"/>
          <w:szCs w:val="30"/>
        </w:rPr>
        <w:t>加强饮用水水源地保护与建设</w:t>
      </w:r>
    </w:p>
    <w:p w14:paraId="14F4ADBC">
      <w:pPr>
        <w:adjustRightInd w:val="0"/>
        <w:snapToGrid w:val="0"/>
        <w:spacing w:line="500" w:lineRule="exact"/>
        <w:ind w:firstLine="600" w:firstLineChars="200"/>
        <w:rPr>
          <w:rFonts w:ascii="Times New Roman" w:hAnsi="Times New Roman" w:eastAsia="仿宋_GB2312" w:cs="Times New Roman"/>
          <w:sz w:val="30"/>
          <w:szCs w:val="30"/>
          <w:lang w:val="zh-CN"/>
        </w:rPr>
      </w:pPr>
      <w:r>
        <w:rPr>
          <w:rFonts w:hint="eastAsia" w:ascii="Times New Roman" w:hAnsi="Times New Roman" w:eastAsia="仿宋_GB2312" w:cs="Times New Roman"/>
          <w:sz w:val="30"/>
          <w:szCs w:val="30"/>
          <w:lang w:val="zh-CN"/>
        </w:rPr>
        <w:t>开展饮用水水源地规范化建设，加强保护区标识标牌、一级保护区封闭隔离等安全防护工程建设；强化饮用水水源地管理，开展饮用水水源地环境状况年度评估，完善饮用水水源地档案管理；202</w:t>
      </w:r>
      <w:r>
        <w:rPr>
          <w:rFonts w:hint="eastAsia" w:ascii="Times New Roman" w:hAnsi="Times New Roman" w:eastAsia="仿宋_GB2312" w:cs="Times New Roman"/>
          <w:sz w:val="30"/>
          <w:szCs w:val="30"/>
        </w:rPr>
        <w:t>2</w:t>
      </w:r>
      <w:r>
        <w:rPr>
          <w:rFonts w:hint="eastAsia" w:ascii="Times New Roman" w:hAnsi="Times New Roman" w:eastAsia="仿宋_GB2312" w:cs="Times New Roman"/>
          <w:sz w:val="30"/>
          <w:szCs w:val="30"/>
          <w:lang w:val="zh-CN"/>
        </w:rPr>
        <w:t>年前完成乡镇集中式水源保护区规范设立标识标牌、隔离网等工作；完成所有乡镇集中式水源地环境问题整。建立和完善全县饮用水水源、供水厂出水和用户水龙头水质等饮水安全状况评估、公布制度，组织对城市供水出厂水和末梢水进行监测、检测和评估，保障用户水龙头水质安全，全面解决农牧区人口饮水安全问题。</w:t>
      </w:r>
    </w:p>
    <w:p w14:paraId="09B9C690">
      <w:pPr>
        <w:adjustRightInd w:val="0"/>
        <w:snapToGrid w:val="0"/>
        <w:spacing w:line="500" w:lineRule="exact"/>
        <w:ind w:firstLine="600" w:firstLineChars="200"/>
        <w:rPr>
          <w:rFonts w:ascii="Times New Roman" w:hAnsi="Times New Roman" w:eastAsia="仿宋_GB2312" w:cs="Times New Roman"/>
          <w:sz w:val="30"/>
          <w:szCs w:val="30"/>
          <w:lang w:val="zh-CN"/>
        </w:rPr>
      </w:pPr>
      <w:r>
        <w:rPr>
          <w:rFonts w:hint="eastAsia" w:ascii="Times New Roman" w:hAnsi="Times New Roman" w:eastAsia="仿宋_GB2312" w:cs="Times New Roman"/>
          <w:sz w:val="30"/>
          <w:szCs w:val="30"/>
          <w:lang w:val="zh-CN"/>
        </w:rPr>
        <w:t>强化饮用水水源应急管理，完善饮用水水源地突发事件应急预案，建立备用水源，加快各镇乡各水厂及输水管网的建设。</w:t>
      </w:r>
    </w:p>
    <w:p w14:paraId="37033DCE">
      <w:pPr>
        <w:spacing w:line="580" w:lineRule="exact"/>
        <w:ind w:firstLine="602" w:firstLineChars="200"/>
        <w:outlineLvl w:val="2"/>
        <w:rPr>
          <w:rFonts w:ascii="Times New Roman" w:hAnsi="Times New Roman" w:eastAsia="楷体_GB2312" w:cs="Times New Roman"/>
          <w:b/>
          <w:bCs/>
          <w:sz w:val="30"/>
          <w:szCs w:val="30"/>
        </w:rPr>
      </w:pPr>
      <w:r>
        <w:rPr>
          <w:rFonts w:hint="eastAsia" w:ascii="Times New Roman" w:hAnsi="Times New Roman" w:eastAsia="楷体_GB2312" w:cs="Times New Roman"/>
          <w:b/>
          <w:bCs/>
          <w:sz w:val="30"/>
          <w:szCs w:val="30"/>
        </w:rPr>
        <w:t>（二）提升中心城区品质</w:t>
      </w:r>
    </w:p>
    <w:p w14:paraId="1266EA38">
      <w:pPr>
        <w:adjustRightInd w:val="0"/>
        <w:snapToGrid w:val="0"/>
        <w:spacing w:line="500" w:lineRule="exact"/>
        <w:ind w:firstLine="602" w:firstLineChars="200"/>
        <w:rPr>
          <w:rFonts w:ascii="Times New Roman" w:hAnsi="Times New Roman" w:eastAsia="仿宋_GB2312" w:cs="Times New Roman"/>
          <w:sz w:val="30"/>
          <w:szCs w:val="30"/>
          <w:lang w:val="zh-CN"/>
        </w:rPr>
      </w:pPr>
      <w:r>
        <w:rPr>
          <w:rFonts w:hint="eastAsia" w:ascii="Times New Roman" w:hAnsi="Times New Roman" w:eastAsia="仿宋_GB2312"/>
          <w:b/>
          <w:bCs/>
          <w:sz w:val="30"/>
          <w:szCs w:val="30"/>
        </w:rPr>
        <w:t>建设山水田园城市。</w:t>
      </w:r>
      <w:r>
        <w:rPr>
          <w:rFonts w:hint="eastAsia" w:ascii="Times New Roman" w:hAnsi="Times New Roman" w:eastAsia="仿宋_GB2312" w:cs="Times New Roman"/>
          <w:sz w:val="30"/>
          <w:szCs w:val="30"/>
          <w:lang w:val="zh-CN"/>
        </w:rPr>
        <w:t>落实县城向南拓展的城市发展战略，做好</w:t>
      </w:r>
      <w:bookmarkStart w:id="183" w:name="_Hlk52023498"/>
      <w:r>
        <w:rPr>
          <w:rFonts w:hint="eastAsia" w:ascii="Times New Roman" w:hAnsi="Times New Roman" w:eastAsia="仿宋_GB2312" w:cs="Times New Roman"/>
          <w:sz w:val="30"/>
          <w:szCs w:val="30"/>
          <w:lang w:val="zh-CN"/>
        </w:rPr>
        <w:t>阿托卡新城区、教育新区</w:t>
      </w:r>
      <w:bookmarkEnd w:id="183"/>
      <w:r>
        <w:rPr>
          <w:rFonts w:hint="eastAsia" w:ascii="Times New Roman" w:hAnsi="Times New Roman" w:eastAsia="仿宋_GB2312" w:cs="Times New Roman"/>
          <w:sz w:val="30"/>
          <w:szCs w:val="30"/>
          <w:lang w:val="zh-CN"/>
        </w:rPr>
        <w:t>建设，改造旧城区，依托现有滨水、山体优势景观资源及历史文化资源，致力于营造具有高品质景观的新区城市空间，形成综合服务风貌区、产业风貌区、居住风貌区、休闲度假风貌区四种不同风貌的片区，以滨水绿带、山体绿带、林荫廊道为依托，以卓玛朗措河滨水景观带、主要道路视廊为构架，公园、广场、主要标志性建筑等为景观节点，塑造“山、水、绿”景观框架。</w:t>
      </w:r>
    </w:p>
    <w:p w14:paraId="11342CC8">
      <w:pPr>
        <w:adjustRightInd w:val="0"/>
        <w:snapToGrid w:val="0"/>
        <w:spacing w:line="500" w:lineRule="exact"/>
        <w:ind w:firstLine="602" w:firstLineChars="200"/>
        <w:rPr>
          <w:rFonts w:ascii="Times New Roman" w:hAnsi="Times New Roman" w:eastAsia="仿宋_GB2312" w:cs="Times New Roman"/>
          <w:sz w:val="30"/>
          <w:szCs w:val="30"/>
          <w:lang w:val="zh-CN"/>
        </w:rPr>
      </w:pPr>
      <w:r>
        <w:rPr>
          <w:rFonts w:hint="eastAsia" w:ascii="Times New Roman" w:hAnsi="Times New Roman" w:eastAsia="楷体_GB2312" w:cs="Times New Roman"/>
          <w:b/>
          <w:bCs/>
          <w:sz w:val="30"/>
          <w:szCs w:val="30"/>
        </w:rPr>
        <w:t>建设城市地下管廊。</w:t>
      </w:r>
      <w:r>
        <w:rPr>
          <w:rFonts w:hint="eastAsia" w:ascii="Times New Roman" w:hAnsi="Times New Roman" w:eastAsia="仿宋_GB2312" w:cs="Times New Roman"/>
          <w:sz w:val="30"/>
          <w:szCs w:val="30"/>
          <w:lang w:val="zh-CN"/>
        </w:rPr>
        <w:t>推进新城区光缆、供电、供暖、供水、排污综合管廊建设，旧城区电力线、通讯线、闭路线“三线”入地。实施城市电力、供水设施扩能改造，改造老城区供水管网，提高居民用电用水保障水平。实施城区供暖工程，建设城市集中供暖站和供暖管网，采用分片区集中供暖与分户采暖相结合的供暖方式。</w:t>
      </w:r>
    </w:p>
    <w:p w14:paraId="19A69E3E">
      <w:pPr>
        <w:adjustRightInd w:val="0"/>
        <w:snapToGrid w:val="0"/>
        <w:spacing w:line="500" w:lineRule="exact"/>
        <w:ind w:firstLine="602" w:firstLineChars="200"/>
        <w:rPr>
          <w:rFonts w:ascii="Times New Roman" w:hAnsi="Times New Roman" w:eastAsia="仿宋_GB2312" w:cs="Times New Roman"/>
          <w:sz w:val="30"/>
          <w:szCs w:val="30"/>
          <w:lang w:val="zh-CN"/>
        </w:rPr>
      </w:pPr>
      <w:r>
        <w:rPr>
          <w:rFonts w:hint="eastAsia" w:ascii="Times New Roman" w:hAnsi="Times New Roman" w:eastAsia="楷体_GB2312" w:cs="Times New Roman"/>
          <w:b/>
          <w:bCs/>
          <w:sz w:val="30"/>
          <w:szCs w:val="30"/>
        </w:rPr>
        <w:t>完善城区服务功能。</w:t>
      </w:r>
      <w:r>
        <w:rPr>
          <w:rFonts w:hint="eastAsia" w:ascii="Times New Roman" w:hAnsi="Times New Roman" w:eastAsia="仿宋_GB2312" w:cs="Times New Roman"/>
          <w:sz w:val="30"/>
          <w:szCs w:val="30"/>
          <w:lang w:val="zh-CN"/>
        </w:rPr>
        <w:t>构建集商业、商务、休闲、公共服务、居住等多种功能复合的服务空间，有效增加公共文化和休闲健身场所空间配置，建设城市公园，完善城市公共服务和社区服务功能，健全运行高效、供给充分、安全便捷的市政设施体系和生活服务网络。</w:t>
      </w:r>
    </w:p>
    <w:p w14:paraId="28118319">
      <w:pPr>
        <w:adjustRightInd w:val="0"/>
        <w:snapToGrid w:val="0"/>
        <w:spacing w:line="500" w:lineRule="exact"/>
        <w:ind w:firstLine="602" w:firstLineChars="200"/>
        <w:rPr>
          <w:rFonts w:ascii="Times New Roman" w:hAnsi="Times New Roman" w:eastAsia="仿宋_GB2312" w:cs="Times New Roman"/>
          <w:sz w:val="30"/>
          <w:szCs w:val="30"/>
          <w:lang w:val="zh-CN"/>
        </w:rPr>
      </w:pPr>
      <w:r>
        <w:rPr>
          <w:rFonts w:hint="eastAsia" w:ascii="Times New Roman" w:hAnsi="Times New Roman" w:eastAsia="楷体_GB2312" w:cs="Times New Roman"/>
          <w:b/>
          <w:bCs/>
          <w:sz w:val="30"/>
          <w:szCs w:val="30"/>
        </w:rPr>
        <w:t>加快生态园林建设。</w:t>
      </w:r>
      <w:r>
        <w:rPr>
          <w:rFonts w:hint="eastAsia" w:ascii="Times New Roman" w:hAnsi="Times New Roman" w:eastAsia="仿宋_GB2312" w:cs="Times New Roman"/>
          <w:sz w:val="30"/>
          <w:szCs w:val="30"/>
          <w:lang w:val="zh-CN"/>
        </w:rPr>
        <w:t>围绕创建国家生态园林城市，加强城市绿化和亮化，实施城市湿地公园、主要街道、水岸等绿化工程，实施以阿托卡新城区、教育新区、各新建小区为主的社区庭院绿化。</w:t>
      </w:r>
    </w:p>
    <w:p w14:paraId="42DF1000">
      <w:pPr>
        <w:spacing w:line="580" w:lineRule="exact"/>
        <w:ind w:firstLine="602" w:firstLineChars="200"/>
        <w:outlineLvl w:val="2"/>
        <w:rPr>
          <w:rFonts w:ascii="Times New Roman" w:hAnsi="Times New Roman" w:eastAsia="楷体_GB2312" w:cs="Times New Roman"/>
          <w:b/>
          <w:bCs/>
          <w:sz w:val="30"/>
          <w:szCs w:val="30"/>
        </w:rPr>
      </w:pPr>
      <w:r>
        <w:rPr>
          <w:rFonts w:ascii="Times New Roman" w:hAnsi="Times New Roman" w:eastAsia="楷体_GB2312" w:cs="Times New Roman"/>
          <w:b/>
          <w:bCs/>
          <w:sz w:val="30"/>
          <w:szCs w:val="30"/>
        </w:rPr>
        <w:t>（</w:t>
      </w:r>
      <w:r>
        <w:rPr>
          <w:rFonts w:hint="eastAsia" w:ascii="Times New Roman" w:hAnsi="Times New Roman" w:eastAsia="楷体_GB2312" w:cs="Times New Roman"/>
          <w:b/>
          <w:bCs/>
          <w:sz w:val="30"/>
          <w:szCs w:val="30"/>
        </w:rPr>
        <w:t>三</w:t>
      </w:r>
      <w:r>
        <w:rPr>
          <w:rFonts w:ascii="Times New Roman" w:hAnsi="Times New Roman" w:eastAsia="楷体_GB2312" w:cs="Times New Roman"/>
          <w:b/>
          <w:bCs/>
          <w:sz w:val="30"/>
          <w:szCs w:val="30"/>
        </w:rPr>
        <w:t>）完善城乡污水处理设施建设</w:t>
      </w:r>
    </w:p>
    <w:p w14:paraId="0275B981">
      <w:pPr>
        <w:adjustRightInd w:val="0"/>
        <w:snapToGrid w:val="0"/>
        <w:spacing w:line="500" w:lineRule="exact"/>
        <w:ind w:firstLine="602" w:firstLineChars="200"/>
        <w:rPr>
          <w:rFonts w:ascii="Times New Roman" w:hAnsi="Times New Roman" w:eastAsia="仿宋_GB2312" w:cs="Times New Roman"/>
          <w:sz w:val="30"/>
          <w:szCs w:val="30"/>
          <w:lang w:val="zh-CN"/>
        </w:rPr>
      </w:pPr>
      <w:r>
        <w:rPr>
          <w:rFonts w:ascii="Times New Roman" w:hAnsi="Times New Roman" w:eastAsia="仿宋_GB2312" w:cs="Times New Roman"/>
          <w:b/>
          <w:bCs/>
          <w:sz w:val="30"/>
          <w:szCs w:val="30"/>
        </w:rPr>
        <w:t>完善县城生活污水处理设施</w:t>
      </w:r>
      <w:r>
        <w:rPr>
          <w:rFonts w:ascii="Times New Roman" w:hAnsi="Times New Roman" w:eastAsia="仿宋_GB2312" w:cs="Times New Roman"/>
          <w:sz w:val="30"/>
          <w:szCs w:val="30"/>
        </w:rPr>
        <w:t>。</w:t>
      </w:r>
      <w:r>
        <w:rPr>
          <w:rFonts w:hint="eastAsia" w:ascii="Times New Roman" w:hAnsi="Times New Roman" w:eastAsia="仿宋_GB2312" w:cs="Times New Roman"/>
          <w:sz w:val="30"/>
          <w:szCs w:val="30"/>
          <w:lang w:val="zh-CN"/>
        </w:rPr>
        <w:t>加强洛隆县城镇生活污水处理主体工程及污水收集管网建设，新建污水管网8.4公里及其配套附属设施，提高城镇生活污水的收集效率。保证县城生活污水处理率达到</w:t>
      </w:r>
      <w:r>
        <w:rPr>
          <w:rFonts w:hint="eastAsia" w:ascii="Times New Roman" w:hAnsi="Times New Roman" w:eastAsia="仿宋_GB2312" w:cs="Times New Roman"/>
          <w:sz w:val="30"/>
          <w:szCs w:val="30"/>
        </w:rPr>
        <w:t>100</w:t>
      </w:r>
      <w:r>
        <w:rPr>
          <w:rFonts w:hint="eastAsia" w:ascii="Times New Roman" w:hAnsi="Times New Roman" w:eastAsia="仿宋_GB2312" w:cs="Times New Roman"/>
          <w:sz w:val="30"/>
          <w:szCs w:val="30"/>
          <w:lang w:val="zh-CN"/>
        </w:rPr>
        <w:t>%以上。加强对城镇污水处理设施的日常监管，保障污水处理设施持续运行和稳定达标。完善城市雨、污水分流系统，建成完整、顺畅的雨水排放系统。建成与区域城镇发展水平相适应的雨水管道系统，形成完整的雨、洪水截、导、蓄、排系统。</w:t>
      </w:r>
    </w:p>
    <w:p w14:paraId="795A33BF">
      <w:pPr>
        <w:adjustRightInd w:val="0"/>
        <w:snapToGrid w:val="0"/>
        <w:spacing w:line="500" w:lineRule="exact"/>
        <w:ind w:firstLine="602" w:firstLineChars="200"/>
        <w:rPr>
          <w:rFonts w:ascii="Times New Roman" w:hAnsi="Times New Roman" w:eastAsia="仿宋_GB2312" w:cs="Times New Roman"/>
          <w:sz w:val="30"/>
          <w:szCs w:val="30"/>
          <w:lang w:val="zh-CN"/>
        </w:rPr>
      </w:pPr>
      <w:r>
        <w:rPr>
          <w:rFonts w:ascii="Times New Roman" w:hAnsi="Times New Roman" w:eastAsia="仿宋_GB2312" w:cs="Times New Roman"/>
          <w:b/>
          <w:bCs/>
          <w:sz w:val="30"/>
          <w:szCs w:val="30"/>
        </w:rPr>
        <w:t>完善</w:t>
      </w:r>
      <w:r>
        <w:rPr>
          <w:rFonts w:hint="eastAsia" w:ascii="Times New Roman" w:hAnsi="Times New Roman" w:eastAsia="仿宋_GB2312" w:cs="Times New Roman"/>
          <w:b/>
          <w:bCs/>
          <w:sz w:val="30"/>
          <w:szCs w:val="30"/>
        </w:rPr>
        <w:t>乡镇</w:t>
      </w:r>
      <w:r>
        <w:rPr>
          <w:rFonts w:ascii="Times New Roman" w:hAnsi="Times New Roman" w:eastAsia="仿宋_GB2312" w:cs="Times New Roman"/>
          <w:b/>
          <w:bCs/>
          <w:sz w:val="30"/>
          <w:szCs w:val="30"/>
        </w:rPr>
        <w:t>生活污水处理设施</w:t>
      </w:r>
      <w:r>
        <w:rPr>
          <w:rFonts w:ascii="Times New Roman" w:hAnsi="Times New Roman" w:eastAsia="仿宋_GB2312" w:cs="Times New Roman"/>
          <w:sz w:val="30"/>
          <w:szCs w:val="30"/>
        </w:rPr>
        <w:t>。</w:t>
      </w:r>
      <w:r>
        <w:rPr>
          <w:rFonts w:hint="eastAsia" w:ascii="Times New Roman" w:hAnsi="Times New Roman" w:eastAsia="仿宋_GB2312" w:cs="Times New Roman"/>
          <w:sz w:val="30"/>
          <w:szCs w:val="30"/>
          <w:lang w:val="zh-CN"/>
        </w:rPr>
        <w:t>完成10个乡镇污水处理厂和污水管网建设，各乡镇及周边村庄生活污水经管网收集后，纳入污水处理站进行处理；未纳入污水管网的村庄，配合农村化粪池建设，推广建设氧化塘、生态湿地污水处理系统。实施农村黑臭水体整治行动，基本消除农村黑臭水体，农村水环境治理纳入河湖长制管理。到2025年，农村生活污水基本得到有效治理，探索建立污水处理农户付费制度，完善财政补贴和农户付费合理分担机制。</w:t>
      </w:r>
    </w:p>
    <w:p w14:paraId="148014D6">
      <w:pPr>
        <w:adjustRightInd w:val="0"/>
        <w:snapToGrid w:val="0"/>
        <w:spacing w:line="500" w:lineRule="exact"/>
        <w:ind w:firstLine="602" w:firstLineChars="200"/>
        <w:rPr>
          <w:rFonts w:ascii="Times New Roman" w:hAnsi="Times New Roman" w:eastAsia="仿宋_GB2312" w:cs="Times New Roman"/>
          <w:sz w:val="30"/>
          <w:szCs w:val="30"/>
          <w:lang w:val="zh-CN"/>
        </w:rPr>
      </w:pPr>
      <w:r>
        <w:rPr>
          <w:rFonts w:ascii="Times New Roman" w:hAnsi="Times New Roman" w:eastAsia="仿宋_GB2312" w:cs="Times New Roman"/>
          <w:b/>
          <w:bCs/>
          <w:sz w:val="30"/>
          <w:szCs w:val="30"/>
        </w:rPr>
        <w:t>推进农村污水综合治理。</w:t>
      </w:r>
      <w:r>
        <w:rPr>
          <w:rFonts w:hint="eastAsia" w:ascii="Times New Roman" w:hAnsi="Times New Roman" w:eastAsia="仿宋_GB2312" w:cs="Times New Roman"/>
          <w:sz w:val="30"/>
          <w:szCs w:val="30"/>
          <w:lang w:val="zh-CN"/>
        </w:rPr>
        <w:t>根据农村不同区位条件、人口聚集程度、污水产生规模等因素，因地制宜选择工程措施与生态措施相结合、集中与分散相结合的污水处理模式和处理工艺，梯次推进农村污水综合治理。优先在城镇化程度高的乡镇政府所在地建设污水处理设施，实现所有乡镇政府所在地污水处理设施全覆盖。推动污水管网向周边延伸，将县城和乡镇近郊村庄生活污水纳入污水处理厂处理。对布局分散、人口规模较小，地形条件复杂、污水不易集中收集的村庄，结合农牧区改厕工作采用三格式化粪池处理后，可采用无动力多级厌氧复合生态处理系统如氧化塘、生态湿地对污水进行进一步处理。突出重点区域的污水治理，优先整治重要饮用水水源地周边和水质需改善控制单元内村庄的生活污水。禁止在水源地、保护区等环境敏感区设置排污口，严禁将未经处理的污水排入河道。对房前屋后河塘沟渠实施清淤疏浚，重点开展沿河黑臭水体整治，将农村水环境治理纳入河湖长制管理，明确监管责任。到2025年，农村生活污水处理率达到80%以上。</w:t>
      </w:r>
    </w:p>
    <w:p w14:paraId="10AC1642">
      <w:pPr>
        <w:spacing w:line="580" w:lineRule="exact"/>
        <w:ind w:firstLine="602" w:firstLineChars="200"/>
        <w:outlineLvl w:val="2"/>
        <w:rPr>
          <w:rFonts w:ascii="Times New Roman" w:hAnsi="Times New Roman" w:eastAsia="楷体_GB2312" w:cs="Times New Roman"/>
          <w:b/>
          <w:bCs/>
          <w:sz w:val="30"/>
          <w:szCs w:val="30"/>
        </w:rPr>
      </w:pPr>
      <w:r>
        <w:rPr>
          <w:rFonts w:ascii="Times New Roman" w:hAnsi="Times New Roman" w:eastAsia="楷体_GB2312" w:cs="Times New Roman"/>
          <w:b/>
          <w:bCs/>
          <w:sz w:val="30"/>
          <w:szCs w:val="30"/>
        </w:rPr>
        <w:t>（</w:t>
      </w:r>
      <w:r>
        <w:rPr>
          <w:rFonts w:hint="eastAsia" w:ascii="Times New Roman" w:hAnsi="Times New Roman" w:eastAsia="楷体_GB2312" w:cs="Times New Roman"/>
          <w:b/>
          <w:bCs/>
          <w:sz w:val="30"/>
          <w:szCs w:val="30"/>
        </w:rPr>
        <w:t>四</w:t>
      </w:r>
      <w:r>
        <w:rPr>
          <w:rFonts w:ascii="Times New Roman" w:hAnsi="Times New Roman" w:eastAsia="楷体_GB2312" w:cs="Times New Roman"/>
          <w:b/>
          <w:bCs/>
          <w:sz w:val="30"/>
          <w:szCs w:val="30"/>
        </w:rPr>
        <w:t>）完善城乡环境卫生设施建设</w:t>
      </w:r>
    </w:p>
    <w:p w14:paraId="34DEA484">
      <w:pPr>
        <w:adjustRightInd w:val="0"/>
        <w:snapToGrid w:val="0"/>
        <w:spacing w:line="500" w:lineRule="exact"/>
        <w:ind w:firstLine="600" w:firstLineChars="200"/>
        <w:rPr>
          <w:rFonts w:ascii="Times New Roman" w:hAnsi="Times New Roman" w:eastAsia="仿宋_GB2312" w:cs="Times New Roman"/>
          <w:sz w:val="30"/>
          <w:szCs w:val="30"/>
          <w:lang w:val="zh-CN"/>
        </w:rPr>
      </w:pPr>
      <w:r>
        <w:rPr>
          <w:rFonts w:hint="eastAsia" w:ascii="Times New Roman" w:hAnsi="Times New Roman" w:eastAsia="仿宋_GB2312" w:cs="Times New Roman"/>
          <w:sz w:val="30"/>
          <w:szCs w:val="30"/>
          <w:lang w:val="zh-CN"/>
        </w:rPr>
        <w:t>推进县城生活垃圾无害化处理设施（改扩建）工程，改扩建日处理15吨的垃圾填埋场一座及附属设施，总库容35万立方米，并配套硕督镇垃圾转运车辆。继续严格按照《西藏自治区城镇生活垃圾卫生填埋场运行管理规定（暂行）》的相关要求，严格垃圾填埋场管理，确保生活垃圾规范化处理填埋。</w:t>
      </w:r>
    </w:p>
    <w:p w14:paraId="5C5A1AD1">
      <w:pPr>
        <w:adjustRightInd w:val="0"/>
        <w:snapToGrid w:val="0"/>
        <w:spacing w:line="500" w:lineRule="exact"/>
        <w:ind w:firstLine="600" w:firstLineChars="200"/>
        <w:rPr>
          <w:rFonts w:ascii="Times New Roman" w:hAnsi="Times New Roman" w:eastAsia="仿宋_GB2312" w:cs="Times New Roman"/>
          <w:sz w:val="30"/>
          <w:szCs w:val="30"/>
          <w:lang w:val="zh-CN"/>
        </w:rPr>
      </w:pPr>
      <w:r>
        <w:rPr>
          <w:rFonts w:hint="eastAsia" w:ascii="Times New Roman" w:hAnsi="Times New Roman" w:eastAsia="仿宋_GB2312" w:cs="Times New Roman"/>
          <w:sz w:val="30"/>
          <w:szCs w:val="30"/>
          <w:lang w:val="zh-CN"/>
        </w:rPr>
        <w:t>积极推进洛隆县城乡垃圾处理设施建设，修建垃圾中转站，建设村级简易垃圾收集池，推进垃圾处置向村组延伸，配备人员及车辆，对城镇生活垃圾进行集中、规范处置。完善垃圾无害化、资源化处理设施，推行生活垃圾分类收集、运输、处理和再利用的制度。分片区建设硕督镇、马利镇、马利镇布许村、腊久乡、新荣乡、达龙乡、白达乡、玉西乡8个生活垃圾无害化处理设施。推进源头分类减量、资源化处理利用，建设一批有机废弃物综合处置利用设施。</w:t>
      </w:r>
    </w:p>
    <w:p w14:paraId="07C3ACFB">
      <w:pPr>
        <w:adjustRightInd w:val="0"/>
        <w:snapToGrid w:val="0"/>
        <w:spacing w:line="500" w:lineRule="exact"/>
        <w:ind w:firstLine="600" w:firstLineChars="200"/>
        <w:rPr>
          <w:rFonts w:ascii="Times New Roman" w:hAnsi="Times New Roman" w:eastAsia="仿宋_GB2312" w:cs="Times New Roman"/>
          <w:sz w:val="30"/>
          <w:szCs w:val="30"/>
          <w:lang w:val="zh-CN"/>
        </w:rPr>
      </w:pPr>
      <w:r>
        <w:rPr>
          <w:rFonts w:hint="eastAsia" w:ascii="Times New Roman" w:hAnsi="Times New Roman" w:eastAsia="仿宋_GB2312" w:cs="Times New Roman"/>
          <w:sz w:val="30"/>
          <w:szCs w:val="30"/>
          <w:lang w:val="zh-CN"/>
        </w:rPr>
        <w:t>全面治理农村垃圾。根据村庄人口分布、地形地貌、运输半径等条件，统一规划，合理确定垃圾处理方式，合理布局生活垃圾处理设施。因地制宜推广“村收集、村处理”，“村收集、乡镇转运处理”，“户分类、村收集、乡镇转运、县处理”垃圾处理模式，配足配齐垃圾桶、垃圾箱、垃圾转运车辆等设施，根据辐射范围按片区建设垃圾卫生填埋场。引导和鼓励农牧民对垃圾进行分类投放，按照可再生资源回收利用、有机垃圾生态循环处理、惰性垃圾垫路或填埋、有害垃圾集中收集处理等方式，全面开展垃圾源头分类减量、资源化利用。全面清理村庄内外积存的建筑垃圾和生活垃圾，彻底清理房前屋后的杂物堆和垃圾堆，消除垃圾围村现象，杜绝工业污染“上山下乡”。到2025年，全县所有行政村建成垃圾集中收集点，生活垃圾得到全面治理，农村生活垃圾无害化处理率达到</w:t>
      </w:r>
      <w:r>
        <w:rPr>
          <w:rFonts w:hint="eastAsia" w:ascii="Times New Roman" w:hAnsi="Times New Roman" w:eastAsia="仿宋_GB2312" w:cs="Times New Roman"/>
          <w:sz w:val="30"/>
          <w:szCs w:val="30"/>
        </w:rPr>
        <w:t>100</w:t>
      </w:r>
      <w:r>
        <w:rPr>
          <w:rFonts w:hint="eastAsia" w:ascii="Times New Roman" w:hAnsi="Times New Roman" w:eastAsia="仿宋_GB2312" w:cs="Times New Roman"/>
          <w:sz w:val="30"/>
          <w:szCs w:val="30"/>
          <w:lang w:val="zh-CN"/>
        </w:rPr>
        <w:t>%。</w:t>
      </w:r>
    </w:p>
    <w:p w14:paraId="78CFBF9E">
      <w:pPr>
        <w:spacing w:line="580" w:lineRule="exact"/>
        <w:ind w:firstLine="602" w:firstLineChars="200"/>
        <w:outlineLvl w:val="2"/>
        <w:rPr>
          <w:rFonts w:ascii="Times New Roman" w:hAnsi="Times New Roman" w:eastAsia="楷体_GB2312" w:cs="Times New Roman"/>
          <w:b/>
          <w:bCs/>
          <w:sz w:val="30"/>
          <w:szCs w:val="30"/>
        </w:rPr>
      </w:pPr>
      <w:r>
        <w:rPr>
          <w:rFonts w:ascii="Times New Roman" w:hAnsi="Times New Roman" w:eastAsia="楷体_GB2312" w:cs="Times New Roman"/>
          <w:b/>
          <w:bCs/>
          <w:sz w:val="30"/>
          <w:szCs w:val="30"/>
        </w:rPr>
        <w:t>（</w:t>
      </w:r>
      <w:r>
        <w:rPr>
          <w:rFonts w:hint="eastAsia" w:ascii="Times New Roman" w:hAnsi="Times New Roman" w:eastAsia="楷体_GB2312" w:cs="Times New Roman"/>
          <w:b/>
          <w:bCs/>
          <w:sz w:val="30"/>
          <w:szCs w:val="30"/>
        </w:rPr>
        <w:t>五</w:t>
      </w:r>
      <w:r>
        <w:rPr>
          <w:rFonts w:ascii="Times New Roman" w:hAnsi="Times New Roman" w:eastAsia="楷体_GB2312" w:cs="Times New Roman"/>
          <w:b/>
          <w:bCs/>
          <w:sz w:val="30"/>
          <w:szCs w:val="30"/>
        </w:rPr>
        <w:t>）持续实施农村卫生厕所改造和粪污治理</w:t>
      </w:r>
    </w:p>
    <w:p w14:paraId="54F71791">
      <w:pPr>
        <w:adjustRightInd w:val="0"/>
        <w:snapToGrid w:val="0"/>
        <w:spacing w:line="500" w:lineRule="exact"/>
        <w:ind w:firstLine="602" w:firstLineChars="200"/>
        <w:rPr>
          <w:rFonts w:ascii="Times New Roman" w:hAnsi="Times New Roman" w:eastAsia="仿宋_GB2312" w:cs="Times New Roman"/>
          <w:sz w:val="30"/>
          <w:szCs w:val="30"/>
          <w:lang w:val="zh-CN"/>
        </w:rPr>
      </w:pPr>
      <w:r>
        <w:rPr>
          <w:rFonts w:ascii="Times New Roman" w:hAnsi="Times New Roman" w:eastAsia="仿宋_GB2312" w:cs="Times New Roman"/>
          <w:b/>
          <w:bCs/>
          <w:sz w:val="30"/>
          <w:szCs w:val="30"/>
        </w:rPr>
        <w:t>统筹农村公共厕所建设。</w:t>
      </w:r>
      <w:r>
        <w:rPr>
          <w:rFonts w:hint="eastAsia" w:ascii="Times New Roman" w:hAnsi="Times New Roman" w:eastAsia="仿宋_GB2312" w:cs="Times New Roman"/>
          <w:sz w:val="30"/>
          <w:szCs w:val="30"/>
          <w:lang w:val="zh-CN"/>
        </w:rPr>
        <w:t>结合洛隆县扶贫新村建设，完成公共厕所新建改建、推动新村聚居点乡村公共厕所配套建设，重点完善村级服务中心、学校等公共场所公厕配建。加强村民广场、乡村集市、中小学校、乡（镇）卫生院等人员密集活动场所卫生公厕建设，确保每个建制村至少建设1个公共厕所。</w:t>
      </w:r>
    </w:p>
    <w:p w14:paraId="26500997">
      <w:pPr>
        <w:adjustRightInd w:val="0"/>
        <w:snapToGrid w:val="0"/>
        <w:spacing w:line="500" w:lineRule="exact"/>
        <w:ind w:firstLine="602" w:firstLineChars="200"/>
        <w:rPr>
          <w:rFonts w:ascii="Times New Roman" w:hAnsi="Times New Roman" w:eastAsia="仿宋_GB2312" w:cs="Times New Roman"/>
          <w:sz w:val="30"/>
          <w:szCs w:val="30"/>
          <w:lang w:val="zh-CN"/>
        </w:rPr>
      </w:pPr>
      <w:r>
        <w:rPr>
          <w:rFonts w:ascii="Times New Roman" w:hAnsi="Times New Roman" w:eastAsia="仿宋_GB2312" w:cs="Times New Roman"/>
          <w:b/>
          <w:bCs/>
          <w:sz w:val="30"/>
          <w:szCs w:val="30"/>
        </w:rPr>
        <w:t>推进农村户用厕所改造。</w:t>
      </w:r>
      <w:r>
        <w:rPr>
          <w:rFonts w:hint="eastAsia" w:ascii="Times New Roman" w:hAnsi="Times New Roman" w:eastAsia="仿宋_GB2312" w:cs="Times New Roman"/>
          <w:sz w:val="30"/>
          <w:szCs w:val="30"/>
          <w:lang w:val="zh-CN"/>
        </w:rPr>
        <w:t>因地制宜选择改厕模式，鼓励和引导农牧区新建住房配套建设无害化卫生厕所，加快研发推广寒冷地区卫生厕所适用技术和产品；鼓励缺水地区的村庄选择粪尿分集式生态卫生旱厕；在城镇污水管网可延伸覆盖到的村庄，以及在基础好、有条件的城镇周边村庄，鼓励推广水冲式厕所，配建污水管道，统一纳入城镇污水管网，推进厕所粪污与生活污水共同治理。至2025年，全县基本具备条件的村庄户用厕所普及率达到60%。</w:t>
      </w:r>
    </w:p>
    <w:p w14:paraId="678CBF9E">
      <w:pPr>
        <w:adjustRightInd w:val="0"/>
        <w:snapToGrid w:val="0"/>
        <w:spacing w:line="500" w:lineRule="exact"/>
        <w:ind w:firstLine="602" w:firstLineChars="200"/>
        <w:rPr>
          <w:rFonts w:ascii="Times New Roman" w:hAnsi="Times New Roman" w:eastAsia="仿宋_GB2312" w:cs="Times New Roman"/>
          <w:sz w:val="30"/>
          <w:szCs w:val="30"/>
          <w:lang w:val="zh-CN"/>
        </w:rPr>
      </w:pPr>
      <w:bookmarkStart w:id="184" w:name="_Toc528335088"/>
      <w:r>
        <w:rPr>
          <w:rFonts w:ascii="Times New Roman" w:hAnsi="Times New Roman" w:eastAsia="仿宋_GB2312" w:cs="Times New Roman"/>
          <w:b/>
          <w:bCs/>
          <w:sz w:val="30"/>
          <w:szCs w:val="30"/>
        </w:rPr>
        <w:t>加强厕所粪污治理。</w:t>
      </w:r>
      <w:r>
        <w:rPr>
          <w:rFonts w:hint="eastAsia" w:ascii="Times New Roman" w:hAnsi="Times New Roman" w:eastAsia="仿宋_GB2312" w:cs="Times New Roman"/>
          <w:sz w:val="30"/>
          <w:szCs w:val="30"/>
          <w:lang w:val="zh-CN"/>
        </w:rPr>
        <w:t>结合实际建立厕所粪污贮存、收集、运输、处理体系，将厕所粪污无害化处理并资源化利用，推行粪肥还田。</w:t>
      </w:r>
    </w:p>
    <w:p w14:paraId="1DA00178">
      <w:pPr>
        <w:spacing w:line="580" w:lineRule="exact"/>
        <w:jc w:val="center"/>
        <w:outlineLvl w:val="1"/>
        <w:rPr>
          <w:rFonts w:ascii="Times New Roman" w:hAnsi="Times New Roman" w:eastAsia="黑体" w:cs="Times New Roman"/>
          <w:bCs/>
          <w:sz w:val="32"/>
          <w:szCs w:val="32"/>
        </w:rPr>
      </w:pPr>
      <w:bookmarkStart w:id="185" w:name="_Toc2119"/>
      <w:bookmarkStart w:id="186" w:name="_Toc26270"/>
      <w:r>
        <w:rPr>
          <w:rFonts w:ascii="Times New Roman" w:hAnsi="Times New Roman" w:eastAsia="黑体" w:cs="Times New Roman"/>
          <w:bCs/>
          <w:sz w:val="32"/>
          <w:szCs w:val="32"/>
        </w:rPr>
        <w:t>第四节  倡导绿色生活方式</w:t>
      </w:r>
      <w:bookmarkEnd w:id="184"/>
      <w:bookmarkEnd w:id="185"/>
      <w:bookmarkEnd w:id="186"/>
    </w:p>
    <w:p w14:paraId="1E650FBE">
      <w:pPr>
        <w:spacing w:line="580" w:lineRule="exact"/>
        <w:ind w:firstLine="602" w:firstLineChars="200"/>
        <w:outlineLvl w:val="2"/>
        <w:rPr>
          <w:rFonts w:ascii="Times New Roman" w:hAnsi="Times New Roman" w:eastAsia="楷体_GB2312" w:cs="Times New Roman"/>
          <w:b/>
          <w:bCs/>
          <w:sz w:val="30"/>
          <w:szCs w:val="30"/>
        </w:rPr>
      </w:pPr>
      <w:bookmarkStart w:id="187" w:name="_Toc528335089"/>
      <w:bookmarkStart w:id="188" w:name="_Toc524445069"/>
      <w:bookmarkStart w:id="189" w:name="_Toc522719049"/>
      <w:r>
        <w:rPr>
          <w:rFonts w:ascii="Times New Roman" w:hAnsi="Times New Roman" w:eastAsia="楷体_GB2312" w:cs="Times New Roman"/>
          <w:b/>
          <w:bCs/>
          <w:sz w:val="30"/>
          <w:szCs w:val="30"/>
        </w:rPr>
        <w:t>（一）发展绿色建筑</w:t>
      </w:r>
      <w:bookmarkEnd w:id="187"/>
      <w:bookmarkEnd w:id="188"/>
      <w:bookmarkEnd w:id="189"/>
    </w:p>
    <w:p w14:paraId="2619B9E0">
      <w:pPr>
        <w:adjustRightInd w:val="0"/>
        <w:snapToGrid w:val="0"/>
        <w:spacing w:line="500" w:lineRule="exact"/>
        <w:ind w:firstLine="600" w:firstLineChars="200"/>
        <w:rPr>
          <w:rFonts w:ascii="Times New Roman" w:hAnsi="Times New Roman" w:eastAsia="仿宋_GB2312" w:cs="Times New Roman"/>
          <w:sz w:val="30"/>
          <w:szCs w:val="30"/>
          <w:lang w:val="zh-CN"/>
        </w:rPr>
      </w:pPr>
      <w:bookmarkStart w:id="190" w:name="_Toc528335090"/>
      <w:bookmarkStart w:id="191" w:name="_Toc524445070"/>
      <w:bookmarkStart w:id="192" w:name="_Toc522719050"/>
      <w:r>
        <w:rPr>
          <w:rFonts w:hint="eastAsia" w:ascii="Times New Roman" w:hAnsi="Times New Roman" w:eastAsia="仿宋_GB2312" w:cs="Times New Roman"/>
          <w:sz w:val="30"/>
          <w:szCs w:val="30"/>
          <w:lang w:val="zh-CN"/>
        </w:rPr>
        <w:t>依据《绿色建筑评价标准》（GB/T 50378-2019），针对新建建筑，积极推广绿色建筑标准和要求。对于公共建筑，应强制达到一星级绿色建筑以上标准。住建部门同步开展绿色建筑调查或认证，制定《洛隆县推进绿色建筑发展实施细则》，建立绿色建筑年度台账。实施既有公共建筑节能改造工程，扩大绿色建筑面积比例。以政府机关办公建筑、学校、医院、宾馆、商场、体育场馆等为重点，推行建筑能耗分项计量和用能管理，组织实施既有公共建筑改造示范，积极推动可再生能源建筑应用城市示范。</w:t>
      </w:r>
    </w:p>
    <w:p w14:paraId="43FC95A6">
      <w:pPr>
        <w:spacing w:line="580" w:lineRule="exact"/>
        <w:ind w:firstLine="602" w:firstLineChars="200"/>
        <w:outlineLvl w:val="2"/>
        <w:rPr>
          <w:rFonts w:ascii="Times New Roman" w:hAnsi="Times New Roman" w:eastAsia="楷体_GB2312" w:cs="Times New Roman"/>
          <w:b/>
          <w:bCs/>
          <w:sz w:val="30"/>
          <w:szCs w:val="30"/>
        </w:rPr>
      </w:pPr>
      <w:r>
        <w:rPr>
          <w:rFonts w:ascii="Times New Roman" w:hAnsi="Times New Roman" w:eastAsia="楷体_GB2312" w:cs="Times New Roman"/>
          <w:b/>
          <w:bCs/>
          <w:sz w:val="30"/>
          <w:szCs w:val="30"/>
        </w:rPr>
        <w:t>（二）引导企业和民众绿色生产生活</w:t>
      </w:r>
      <w:bookmarkEnd w:id="190"/>
      <w:bookmarkEnd w:id="191"/>
      <w:bookmarkEnd w:id="192"/>
    </w:p>
    <w:p w14:paraId="4C05E1E3">
      <w:pPr>
        <w:adjustRightInd w:val="0"/>
        <w:snapToGrid w:val="0"/>
        <w:spacing w:line="500" w:lineRule="exact"/>
        <w:ind w:firstLine="602" w:firstLineChars="200"/>
        <w:rPr>
          <w:rFonts w:ascii="Times New Roman" w:hAnsi="Times New Roman" w:eastAsia="仿宋_GB2312" w:cs="Times New Roman"/>
          <w:sz w:val="30"/>
          <w:szCs w:val="30"/>
          <w:lang w:val="zh-CN"/>
        </w:rPr>
      </w:pPr>
      <w:r>
        <w:rPr>
          <w:rFonts w:ascii="Times New Roman" w:hAnsi="Times New Roman" w:eastAsia="仿宋_GB2312" w:cs="Times New Roman"/>
          <w:b/>
          <w:kern w:val="0"/>
          <w:sz w:val="30"/>
          <w:szCs w:val="30"/>
        </w:rPr>
        <w:t>鼓励绿色消费。</w:t>
      </w:r>
      <w:r>
        <w:rPr>
          <w:rFonts w:hint="eastAsia" w:ascii="Times New Roman" w:hAnsi="Times New Roman" w:eastAsia="仿宋_GB2312" w:cs="Times New Roman"/>
          <w:sz w:val="30"/>
          <w:szCs w:val="30"/>
          <w:lang w:val="zh-CN"/>
        </w:rPr>
        <w:t>普及节能节水器具，鼓励使用节电型电器和照明产品，以政府为主导，启动洛隆城区非节能节水型器具改造工程。鼓励使用可重复利用的餐具及其他用品，鼓励推行政府和企业减纸化、节能减排办公，推广使用节能环保公务车，鼓励群众购买低碳纺织品，引导绿色理性消费。开展节水型机关、企业（单位）、社区创建活动，组织开展“低碳家庭行动”等活动。</w:t>
      </w:r>
    </w:p>
    <w:p w14:paraId="18B7A07A">
      <w:pPr>
        <w:adjustRightInd w:val="0"/>
        <w:snapToGrid w:val="0"/>
        <w:spacing w:line="500" w:lineRule="exact"/>
        <w:ind w:firstLine="602" w:firstLineChars="200"/>
        <w:rPr>
          <w:rFonts w:ascii="Times New Roman" w:hAnsi="Times New Roman" w:eastAsia="仿宋_GB2312" w:cs="Times New Roman"/>
          <w:sz w:val="30"/>
          <w:szCs w:val="30"/>
          <w:lang w:val="zh-CN"/>
        </w:rPr>
      </w:pPr>
      <w:r>
        <w:rPr>
          <w:rFonts w:ascii="Times New Roman" w:hAnsi="Times New Roman" w:eastAsia="仿宋_GB2312" w:cs="Times New Roman"/>
          <w:b/>
          <w:kern w:val="0"/>
          <w:sz w:val="30"/>
          <w:szCs w:val="30"/>
        </w:rPr>
        <w:t>鼓励绿色出行。</w:t>
      </w:r>
      <w:r>
        <w:rPr>
          <w:rFonts w:hint="eastAsia" w:ascii="Times New Roman" w:hAnsi="Times New Roman" w:eastAsia="仿宋_GB2312" w:cs="Times New Roman"/>
          <w:sz w:val="30"/>
          <w:szCs w:val="30"/>
          <w:lang w:val="zh-CN"/>
        </w:rPr>
        <w:t>倡导公交出行方式，鼓励采用自行车、步行等方式绿色出行。提倡购买新型环保汽车，降低出行交通能源消耗与污染排放，降低城市交通噪声污染。加快采用新燃料新技术低排放交通工具的普及。推行汽车共享模式，鼓励公众拼车出行，降低轿车单载率，探索以“安全快捷、健康舒适、资源节约、环境友好”为主要特征的汽车共享新模式。</w:t>
      </w:r>
    </w:p>
    <w:p w14:paraId="57942815">
      <w:pPr>
        <w:adjustRightInd w:val="0"/>
        <w:snapToGrid w:val="0"/>
        <w:spacing w:line="500" w:lineRule="exact"/>
        <w:ind w:firstLine="602" w:firstLineChars="200"/>
        <w:rPr>
          <w:rFonts w:ascii="Times New Roman" w:hAnsi="Times New Roman" w:eastAsia="仿宋_GB2312" w:cs="Times New Roman"/>
          <w:sz w:val="30"/>
          <w:szCs w:val="30"/>
        </w:rPr>
      </w:pPr>
      <w:r>
        <w:rPr>
          <w:rFonts w:ascii="Times New Roman" w:hAnsi="Times New Roman" w:eastAsia="仿宋_GB2312" w:cs="Times New Roman"/>
          <w:b/>
          <w:kern w:val="0"/>
          <w:sz w:val="30"/>
          <w:szCs w:val="30"/>
        </w:rPr>
        <w:t>实施垃圾分类。</w:t>
      </w:r>
      <w:r>
        <w:rPr>
          <w:rFonts w:hint="eastAsia" w:ascii="Times New Roman" w:hAnsi="Times New Roman" w:eastAsia="仿宋_GB2312" w:cs="Times New Roman"/>
          <w:sz w:val="30"/>
          <w:szCs w:val="30"/>
          <w:lang w:val="zh-CN"/>
        </w:rPr>
        <w:t>按照垃圾分类标准引导居（村）民对垃圾进行分类，对不同类型垃圾进行处理，实现生活垃圾减量化、资源化和无害化的目标。可回收垃圾可进入废品回收环节，卖给回收点进行回收、循环利用处理；厨余垃圾及易腐烂类垃圾进行垃圾沤肥处理；有害垃圾应分类回收进行无害化处理；其他垃圾通过集运至垃圾填埋场进行集中处理。</w:t>
      </w:r>
    </w:p>
    <w:p w14:paraId="69D29D92">
      <w:pPr>
        <w:adjustRightInd w:val="0"/>
        <w:snapToGrid w:val="0"/>
        <w:spacing w:line="500" w:lineRule="exact"/>
        <w:ind w:firstLine="602" w:firstLineChars="200"/>
        <w:rPr>
          <w:rFonts w:ascii="Times New Roman" w:hAnsi="Times New Roman" w:eastAsia="仿宋_GB2312" w:cs="Times New Roman"/>
          <w:sz w:val="30"/>
          <w:szCs w:val="30"/>
          <w:lang w:val="zh-CN"/>
        </w:rPr>
      </w:pPr>
      <w:r>
        <w:rPr>
          <w:rFonts w:ascii="Times New Roman" w:hAnsi="Times New Roman" w:eastAsia="仿宋_GB2312" w:cs="Times New Roman"/>
          <w:b/>
          <w:kern w:val="0"/>
          <w:sz w:val="30"/>
          <w:szCs w:val="30"/>
        </w:rPr>
        <w:t>提升绿色办公意识。</w:t>
      </w:r>
      <w:r>
        <w:rPr>
          <w:rFonts w:hint="eastAsia" w:ascii="Times New Roman" w:hAnsi="Times New Roman" w:eastAsia="仿宋_GB2312" w:cs="Times New Roman"/>
          <w:sz w:val="30"/>
          <w:szCs w:val="30"/>
          <w:lang w:val="zh-CN"/>
        </w:rPr>
        <w:t>抓好空调、照明、电梯节电及办公及其他用电设备节电，逐步推行网络无纸化办公，做好办公废纸的回收，设立定期回收制度，以处室为单元，每年对绿色办公情况进行评比，对实施绿色办公较好的处室进行奖励。推行绿色采购，在编制政府采购目录、采购限额标准及政府采购预算时，全面落实绿色产品采购政策，优先购买国家认可的、环境标志产品认证机构认证的产品。规划期内政府绿色采购比例保持在100%。</w:t>
      </w:r>
    </w:p>
    <w:p w14:paraId="0A0B8598">
      <w:pPr>
        <w:adjustRightInd w:val="0"/>
        <w:snapToGrid w:val="0"/>
        <w:spacing w:line="500" w:lineRule="exact"/>
        <w:ind w:firstLine="600" w:firstLineChars="200"/>
        <w:rPr>
          <w:rFonts w:ascii="Times New Roman" w:hAnsi="Times New Roman" w:eastAsia="仿宋_GB2312" w:cs="Times New Roman"/>
          <w:sz w:val="30"/>
          <w:szCs w:val="30"/>
          <w:lang w:val="zh-CN"/>
        </w:rPr>
        <w:sectPr>
          <w:pgSz w:w="11906" w:h="16838"/>
          <w:pgMar w:top="1440" w:right="1800" w:bottom="1440" w:left="1800" w:header="851" w:footer="992" w:gutter="0"/>
          <w:cols w:space="720" w:num="1"/>
          <w:docGrid w:type="lines" w:linePitch="312" w:charSpace="0"/>
        </w:sectPr>
      </w:pPr>
    </w:p>
    <w:p w14:paraId="57D087D6">
      <w:pPr>
        <w:pageBreakBefore/>
        <w:spacing w:line="580" w:lineRule="exact"/>
        <w:jc w:val="center"/>
        <w:outlineLvl w:val="0"/>
        <w:rPr>
          <w:rFonts w:ascii="方正小标宋简体" w:hAnsi="Times New Roman" w:eastAsia="方正小标宋简体" w:cs="Times New Roman"/>
          <w:sz w:val="36"/>
          <w:szCs w:val="36"/>
        </w:rPr>
      </w:pPr>
      <w:bookmarkStart w:id="193" w:name="_Toc528335091"/>
      <w:bookmarkStart w:id="194" w:name="_Toc30204"/>
      <w:bookmarkStart w:id="195" w:name="_Toc28841"/>
      <w:r>
        <w:rPr>
          <w:rFonts w:ascii="方正小标宋简体" w:hAnsi="Times New Roman" w:eastAsia="方正小标宋简体" w:cs="Times New Roman"/>
          <w:sz w:val="36"/>
          <w:szCs w:val="36"/>
        </w:rPr>
        <w:t>第七章 弘扬生态文化，培育生态文明意识</w:t>
      </w:r>
      <w:bookmarkEnd w:id="193"/>
      <w:bookmarkEnd w:id="194"/>
      <w:bookmarkEnd w:id="195"/>
    </w:p>
    <w:p w14:paraId="0D02A748">
      <w:pPr>
        <w:spacing w:line="580" w:lineRule="exact"/>
        <w:jc w:val="center"/>
        <w:outlineLvl w:val="1"/>
        <w:rPr>
          <w:rFonts w:ascii="Times New Roman" w:hAnsi="Times New Roman" w:eastAsia="黑体" w:cs="Times New Roman"/>
          <w:bCs/>
          <w:sz w:val="32"/>
          <w:szCs w:val="32"/>
        </w:rPr>
      </w:pPr>
      <w:bookmarkStart w:id="196" w:name="_Toc20562"/>
      <w:bookmarkStart w:id="197" w:name="_Toc31752"/>
      <w:bookmarkStart w:id="198" w:name="_Toc528335092"/>
    </w:p>
    <w:p w14:paraId="75F80CC2">
      <w:pPr>
        <w:spacing w:line="580" w:lineRule="exact"/>
        <w:jc w:val="center"/>
        <w:outlineLvl w:val="1"/>
        <w:rPr>
          <w:rFonts w:ascii="Times New Roman" w:hAnsi="Times New Roman" w:eastAsia="黑体" w:cs="Times New Roman"/>
          <w:bCs/>
          <w:sz w:val="32"/>
          <w:szCs w:val="32"/>
        </w:rPr>
      </w:pPr>
      <w:r>
        <w:rPr>
          <w:rFonts w:ascii="Times New Roman" w:hAnsi="Times New Roman" w:eastAsia="黑体" w:cs="Times New Roman"/>
          <w:bCs/>
          <w:sz w:val="32"/>
          <w:szCs w:val="32"/>
        </w:rPr>
        <w:t>第一节  加快培育生态文明意识</w:t>
      </w:r>
      <w:bookmarkEnd w:id="196"/>
      <w:bookmarkEnd w:id="197"/>
    </w:p>
    <w:p w14:paraId="480E5D85">
      <w:pPr>
        <w:spacing w:line="580" w:lineRule="exact"/>
        <w:ind w:firstLine="602" w:firstLineChars="200"/>
        <w:outlineLvl w:val="2"/>
        <w:rPr>
          <w:rFonts w:ascii="Times New Roman" w:hAnsi="Times New Roman" w:eastAsia="楷体_GB2312" w:cs="Times New Roman"/>
          <w:b/>
          <w:bCs/>
          <w:sz w:val="30"/>
          <w:szCs w:val="30"/>
        </w:rPr>
      </w:pPr>
      <w:bookmarkStart w:id="199" w:name="_Toc524445077"/>
      <w:bookmarkStart w:id="200" w:name="_Toc522719058"/>
      <w:bookmarkStart w:id="201" w:name="_Toc528335094"/>
      <w:r>
        <w:rPr>
          <w:rFonts w:ascii="Times New Roman" w:hAnsi="Times New Roman" w:eastAsia="楷体_GB2312" w:cs="Times New Roman"/>
          <w:b/>
          <w:bCs/>
          <w:sz w:val="30"/>
          <w:szCs w:val="30"/>
        </w:rPr>
        <w:t>（一）提高公民生态环境意识</w:t>
      </w:r>
    </w:p>
    <w:p w14:paraId="6A2698A5">
      <w:pPr>
        <w:adjustRightInd w:val="0"/>
        <w:snapToGrid w:val="0"/>
        <w:spacing w:line="500" w:lineRule="exact"/>
        <w:ind w:firstLine="600" w:firstLineChars="200"/>
        <w:rPr>
          <w:rFonts w:ascii="Times New Roman" w:hAnsi="Times New Roman" w:eastAsia="仿宋_GB2312" w:cs="Times New Roman"/>
          <w:sz w:val="30"/>
          <w:szCs w:val="30"/>
          <w:lang w:val="zh-CN"/>
        </w:rPr>
      </w:pPr>
      <w:r>
        <w:rPr>
          <w:rFonts w:hint="eastAsia" w:ascii="Times New Roman" w:hAnsi="Times New Roman" w:eastAsia="仿宋_GB2312" w:cs="Times New Roman"/>
          <w:sz w:val="30"/>
          <w:szCs w:val="30"/>
          <w:lang w:val="zh-CN"/>
        </w:rPr>
        <w:t>加强生态文化体系建设。统筹协调生态文明和精神文明，积极弘扬和践行“人与自然和谐共生”的文化价值。系统开展生态文明理论研究，深入挖掘、修复、继承、发展和创新生态文化体系建设，不断增强生态文化与时俱进的适应性，推动生态文化建设制度化，将生态文明认知转化成行动的内生动力。</w:t>
      </w:r>
    </w:p>
    <w:p w14:paraId="65BAF045">
      <w:pPr>
        <w:adjustRightInd w:val="0"/>
        <w:snapToGrid w:val="0"/>
        <w:spacing w:line="500" w:lineRule="exact"/>
        <w:ind w:firstLine="600" w:firstLineChars="200"/>
        <w:rPr>
          <w:rFonts w:ascii="Times New Roman" w:hAnsi="Times New Roman" w:eastAsia="仿宋_GB2312" w:cs="Times New Roman"/>
          <w:sz w:val="30"/>
          <w:szCs w:val="30"/>
          <w:lang w:val="zh-CN"/>
        </w:rPr>
      </w:pPr>
      <w:r>
        <w:rPr>
          <w:rFonts w:hint="eastAsia" w:ascii="Times New Roman" w:hAnsi="Times New Roman" w:eastAsia="仿宋_GB2312" w:cs="Times New Roman"/>
          <w:sz w:val="30"/>
          <w:szCs w:val="30"/>
          <w:lang w:val="zh-CN"/>
        </w:rPr>
        <w:t>积极开发制作相关宣传品，提高公民生态环境意识，推动形成生态环保社会共治大格局。积极探索横向联动，与相关部门、企业、社会组织及关心生态环境保护的各界人士共同进行宣传推广，提高公民生态环境意识。落实环境监测设施、城市污水处理设施、垃圾处理设施等向公众开放工作。充分利用环境教育基地等，搭建公众参与环境保护的开放平台。加强与环保社会组织沟通联系，通过座谈交流、培训、购买服务等方式，促进环保社会组织依法有序参与生态环境保护工作。</w:t>
      </w:r>
    </w:p>
    <w:p w14:paraId="4FA06A59">
      <w:pPr>
        <w:spacing w:line="580" w:lineRule="exact"/>
        <w:ind w:firstLine="602" w:firstLineChars="200"/>
        <w:outlineLvl w:val="2"/>
        <w:rPr>
          <w:rFonts w:ascii="Times New Roman" w:hAnsi="Times New Roman" w:eastAsia="楷体_GB2312" w:cs="Times New Roman"/>
          <w:b/>
          <w:bCs/>
          <w:sz w:val="30"/>
          <w:szCs w:val="30"/>
        </w:rPr>
      </w:pPr>
      <w:r>
        <w:rPr>
          <w:rFonts w:ascii="Times New Roman" w:hAnsi="Times New Roman" w:eastAsia="楷体_GB2312" w:cs="Times New Roman"/>
          <w:b/>
          <w:bCs/>
          <w:sz w:val="30"/>
          <w:szCs w:val="30"/>
        </w:rPr>
        <w:t>（二）完善生态文明教育体系</w:t>
      </w:r>
      <w:bookmarkEnd w:id="199"/>
      <w:bookmarkEnd w:id="200"/>
      <w:bookmarkEnd w:id="201"/>
      <w:r>
        <w:rPr>
          <w:rFonts w:ascii="Times New Roman" w:hAnsi="Times New Roman" w:eastAsia="楷体_GB2312" w:cs="Times New Roman"/>
          <w:b/>
          <w:bCs/>
          <w:sz w:val="30"/>
          <w:szCs w:val="30"/>
        </w:rPr>
        <w:t xml:space="preserve"> </w:t>
      </w:r>
    </w:p>
    <w:p w14:paraId="581CA5A8">
      <w:pPr>
        <w:adjustRightInd w:val="0"/>
        <w:snapToGrid w:val="0"/>
        <w:spacing w:line="500" w:lineRule="exact"/>
        <w:ind w:firstLine="602" w:firstLineChars="200"/>
        <w:rPr>
          <w:rFonts w:ascii="Times New Roman" w:hAnsi="Times New Roman" w:eastAsia="仿宋_GB2312" w:cs="Times New Roman"/>
          <w:sz w:val="30"/>
          <w:szCs w:val="30"/>
          <w:lang w:val="zh-CN"/>
        </w:rPr>
      </w:pPr>
      <w:r>
        <w:rPr>
          <w:rFonts w:ascii="Times New Roman" w:hAnsi="Times New Roman" w:eastAsia="仿宋_GB2312" w:cs="Times New Roman"/>
          <w:b/>
          <w:kern w:val="0"/>
          <w:sz w:val="30"/>
          <w:szCs w:val="30"/>
        </w:rPr>
        <w:t>继续开展党政机关生态文化教育，树立生态文明政绩观。</w:t>
      </w:r>
      <w:r>
        <w:rPr>
          <w:rFonts w:hint="eastAsia" w:ascii="Times New Roman" w:hAnsi="Times New Roman" w:eastAsia="仿宋_GB2312" w:cs="Times New Roman"/>
          <w:sz w:val="30"/>
          <w:szCs w:val="30"/>
          <w:lang w:val="zh-CN"/>
        </w:rPr>
        <w:t>认真贯彻执行中共中央《干部教育培训工作条例》中“开展党中央关于经济建设、政治建设、文化建设、社会建设、生态文明建设和党的建设等方面重大决策部署的培训”的要求，针对不同的对象，开展相应的生态文明培训活动。按照《全国生态文明宣传教育工作绩效评估办法和标准（试行）》等文件要求，将生态文明教育纳入干部教育培训体系，提高干部生态文明意识，确保党政领导干部参加生态文明培训的人数比例始终维持在100%。</w:t>
      </w:r>
    </w:p>
    <w:p w14:paraId="5E0C0941">
      <w:pPr>
        <w:adjustRightInd w:val="0"/>
        <w:snapToGrid w:val="0"/>
        <w:spacing w:line="500" w:lineRule="exact"/>
        <w:ind w:firstLine="602" w:firstLineChars="200"/>
        <w:rPr>
          <w:rFonts w:ascii="Times New Roman" w:hAnsi="Times New Roman" w:eastAsia="仿宋_GB2312" w:cs="Times New Roman"/>
          <w:sz w:val="30"/>
          <w:szCs w:val="30"/>
          <w:lang w:val="zh-CN"/>
        </w:rPr>
      </w:pPr>
      <w:r>
        <w:rPr>
          <w:rFonts w:ascii="Times New Roman" w:hAnsi="Times New Roman" w:eastAsia="仿宋_GB2312" w:cs="Times New Roman"/>
          <w:b/>
          <w:kern w:val="0"/>
          <w:sz w:val="30"/>
          <w:szCs w:val="30"/>
        </w:rPr>
        <w:t>推进校园生态文化教育，培养生态文明接班人。</w:t>
      </w:r>
      <w:r>
        <w:rPr>
          <w:rFonts w:hint="eastAsia" w:ascii="Times New Roman" w:hAnsi="Times New Roman" w:eastAsia="仿宋_GB2312" w:cs="Times New Roman"/>
          <w:sz w:val="30"/>
          <w:szCs w:val="30"/>
          <w:lang w:val="zh-CN"/>
        </w:rPr>
        <w:t>把生态文明建设纳入国民教育体系，根据不同年龄段在校学生的心理特征，开展多种形式的生态文明教育，将生态文化教育融入地方性课程、校（园）本课程相融合。鼓励学校师生积极参加与生态文化有关的纪念活动，定期组织开展环境公益活动，引导学生从身边事做起，宣传、推介和鼓励实行绿色生活方式、绿色消费方式，普遍提高学生的生态意识。</w:t>
      </w:r>
    </w:p>
    <w:p w14:paraId="0ECBD9AF">
      <w:pPr>
        <w:adjustRightInd w:val="0"/>
        <w:snapToGrid w:val="0"/>
        <w:spacing w:line="500" w:lineRule="exact"/>
        <w:ind w:firstLine="602" w:firstLineChars="200"/>
        <w:rPr>
          <w:rFonts w:ascii="Times New Roman" w:hAnsi="Times New Roman" w:eastAsia="仿宋_GB2312" w:cs="Times New Roman"/>
          <w:sz w:val="30"/>
          <w:szCs w:val="30"/>
          <w:lang w:val="zh-CN"/>
        </w:rPr>
      </w:pPr>
      <w:r>
        <w:rPr>
          <w:rFonts w:ascii="Times New Roman" w:hAnsi="Times New Roman" w:eastAsia="仿宋_GB2312" w:cs="Times New Roman"/>
          <w:b/>
          <w:kern w:val="0"/>
          <w:sz w:val="30"/>
          <w:szCs w:val="30"/>
        </w:rPr>
        <w:t>加强社区生态文化教育，培养生态文明新市民。</w:t>
      </w:r>
      <w:r>
        <w:rPr>
          <w:rFonts w:hint="eastAsia" w:ascii="Times New Roman" w:hAnsi="Times New Roman" w:eastAsia="仿宋_GB2312" w:cs="Times New Roman"/>
          <w:sz w:val="30"/>
          <w:szCs w:val="30"/>
          <w:lang w:val="zh-CN"/>
        </w:rPr>
        <w:t>以文明社区创建为契机建设社区生态文化，制定相应的文明社区创建规划，邀请社区居民对文明社区创建建言献策。采用发放环保手册、开辟报纸专栏、举办社区生态文化展览和主题宣传活动等多种形式，加强社区生态文化教育。向居民派发节水小用具、节能节水小窍门手册、环保手袋等，增强社区居民生态文明建设参与能力。开展绿色家庭评选活动，给予绿色家庭一定的奖励，激发居民绿色生活的积极性。</w:t>
      </w:r>
    </w:p>
    <w:p w14:paraId="3D6AC499">
      <w:pPr>
        <w:adjustRightInd w:val="0"/>
        <w:snapToGrid w:val="0"/>
        <w:spacing w:line="500" w:lineRule="exact"/>
        <w:ind w:firstLine="602" w:firstLineChars="200"/>
        <w:rPr>
          <w:rFonts w:ascii="Times New Roman" w:hAnsi="Times New Roman" w:eastAsia="仿宋_GB2312" w:cs="Times New Roman"/>
          <w:sz w:val="30"/>
          <w:szCs w:val="30"/>
          <w:lang w:val="zh-CN"/>
        </w:rPr>
      </w:pPr>
      <w:r>
        <w:rPr>
          <w:rFonts w:ascii="Times New Roman" w:hAnsi="Times New Roman" w:eastAsia="仿宋_GB2312" w:cs="Times New Roman"/>
          <w:b/>
          <w:kern w:val="0"/>
          <w:sz w:val="30"/>
          <w:szCs w:val="30"/>
        </w:rPr>
        <w:t>丰富农村生态文化教育，建设生态文明新农村。</w:t>
      </w:r>
      <w:r>
        <w:rPr>
          <w:rFonts w:hint="eastAsia" w:ascii="Times New Roman" w:hAnsi="Times New Roman" w:eastAsia="仿宋_GB2312" w:cs="Times New Roman"/>
          <w:sz w:val="30"/>
          <w:szCs w:val="30"/>
          <w:lang w:val="zh-CN"/>
        </w:rPr>
        <w:t>编制实施特色文化村落保护规划，开展生态文化下乡活动，充分利用农村现有教育教学资源，采用放映电影、发放传单等方式，对农村干部群众开展生态文化教育。在农资供应、农技服务等生产过程中普及生态农业知识，开展争创文明村镇、文明户等活动鼓励农民转变生活方式。</w:t>
      </w:r>
    </w:p>
    <w:p w14:paraId="4404F9FF">
      <w:pPr>
        <w:adjustRightInd w:val="0"/>
        <w:snapToGrid w:val="0"/>
        <w:spacing w:line="500" w:lineRule="exact"/>
        <w:ind w:firstLine="602" w:firstLineChars="200"/>
        <w:rPr>
          <w:rFonts w:ascii="Times New Roman" w:hAnsi="Times New Roman" w:eastAsia="仿宋_GB2312" w:cs="Times New Roman"/>
          <w:sz w:val="30"/>
          <w:szCs w:val="30"/>
          <w:lang w:val="zh-CN"/>
        </w:rPr>
      </w:pPr>
      <w:r>
        <w:rPr>
          <w:rFonts w:ascii="Times New Roman" w:hAnsi="Times New Roman" w:eastAsia="仿宋_GB2312" w:cs="Times New Roman"/>
          <w:b/>
          <w:kern w:val="0"/>
          <w:sz w:val="30"/>
          <w:szCs w:val="30"/>
        </w:rPr>
        <w:t>开展企业生态文化教育，形成生态文明责任观。</w:t>
      </w:r>
      <w:r>
        <w:rPr>
          <w:rFonts w:hint="eastAsia" w:ascii="Times New Roman" w:hAnsi="Times New Roman" w:eastAsia="仿宋_GB2312" w:cs="Times New Roman"/>
          <w:sz w:val="30"/>
          <w:szCs w:val="30"/>
          <w:lang w:val="zh-CN"/>
        </w:rPr>
        <w:t>引导企业规范化生产经营，加强环境管理制度建立，强化员工技能培训，避免因错误操作或习惯性操作引发污染事故。定期组织企业领导和员工参加循环经济、低碳环保等生态文明知识培训，邀请区内外专家共同探讨产业生态化的经验和方法，编制印发《企业生态文明知识手册》，在企业内部开展办生态文明厂报、建员工学习室、出生态环境知识手册、立生态环境宣传板报、挂生态环境宣传横幅、举办大型环保公益活动等活动。</w:t>
      </w:r>
    </w:p>
    <w:p w14:paraId="0DF7925E">
      <w:pPr>
        <w:spacing w:line="580" w:lineRule="exact"/>
        <w:ind w:firstLine="602" w:firstLineChars="200"/>
        <w:outlineLvl w:val="2"/>
        <w:rPr>
          <w:rFonts w:ascii="Times New Roman" w:hAnsi="Times New Roman" w:eastAsia="楷体_GB2312" w:cs="Times New Roman"/>
          <w:b/>
          <w:bCs/>
          <w:sz w:val="30"/>
          <w:szCs w:val="30"/>
        </w:rPr>
      </w:pPr>
      <w:r>
        <w:rPr>
          <w:rFonts w:ascii="Times New Roman" w:hAnsi="Times New Roman" w:eastAsia="楷体_GB2312" w:cs="Times New Roman"/>
          <w:b/>
          <w:bCs/>
          <w:sz w:val="30"/>
          <w:szCs w:val="30"/>
        </w:rPr>
        <w:t>（</w:t>
      </w:r>
      <w:r>
        <w:rPr>
          <w:rFonts w:hint="eastAsia" w:ascii="Times New Roman" w:hAnsi="Times New Roman" w:eastAsia="楷体_GB2312" w:cs="Times New Roman"/>
          <w:b/>
          <w:bCs/>
          <w:sz w:val="30"/>
          <w:szCs w:val="30"/>
        </w:rPr>
        <w:t>三</w:t>
      </w:r>
      <w:r>
        <w:rPr>
          <w:rFonts w:ascii="Times New Roman" w:hAnsi="Times New Roman" w:eastAsia="楷体_GB2312" w:cs="Times New Roman"/>
          <w:b/>
          <w:bCs/>
          <w:sz w:val="30"/>
          <w:szCs w:val="30"/>
        </w:rPr>
        <w:t>）多方式宣传生态文化</w:t>
      </w:r>
    </w:p>
    <w:p w14:paraId="6DB6D4BF">
      <w:pPr>
        <w:adjustRightInd w:val="0"/>
        <w:snapToGrid w:val="0"/>
        <w:spacing w:line="500" w:lineRule="exact"/>
        <w:ind w:firstLine="602" w:firstLineChars="200"/>
        <w:rPr>
          <w:rFonts w:ascii="Times New Roman" w:hAnsi="Times New Roman" w:eastAsia="仿宋_GB2312" w:cs="Times New Roman"/>
          <w:sz w:val="30"/>
          <w:szCs w:val="30"/>
          <w:lang w:val="zh-CN"/>
        </w:rPr>
      </w:pPr>
      <w:r>
        <w:rPr>
          <w:rFonts w:ascii="Times New Roman" w:hAnsi="Times New Roman" w:eastAsia="仿宋_GB2312" w:cs="Times New Roman"/>
          <w:b/>
          <w:kern w:val="0"/>
          <w:sz w:val="30"/>
          <w:szCs w:val="30"/>
        </w:rPr>
        <w:t>强化新闻媒体生态文明宣传。</w:t>
      </w:r>
      <w:r>
        <w:rPr>
          <w:rFonts w:hint="eastAsia" w:ascii="Times New Roman" w:hAnsi="Times New Roman" w:eastAsia="仿宋_GB2312" w:cs="Times New Roman"/>
          <w:sz w:val="30"/>
          <w:szCs w:val="30"/>
          <w:lang w:val="zh-CN"/>
        </w:rPr>
        <w:t>利用广播、电视、电影、报纸、网络等多元的传播媒介传播生态文化，增加报道公众生活周边的生态文明事件或现象。以昌都政务微博、微信、电视栏目及“怒江新潮洛隆”公众号，以及洛隆县政府网站为基础，采取藏语、汉语双语，发布生态文明建设的成果、计划等信息，扩大生态文化宣传的覆盖面。与电信服务公司合作，向公众推送生态文明建设相关信息，如节水节电窍门、生态文明建设的成效等，保持公众对洛隆生态文明建设的持续关注。</w:t>
      </w:r>
    </w:p>
    <w:p w14:paraId="1A0C90DC">
      <w:pPr>
        <w:adjustRightInd w:val="0"/>
        <w:snapToGrid w:val="0"/>
        <w:spacing w:line="500" w:lineRule="exact"/>
        <w:ind w:firstLine="602" w:firstLineChars="200"/>
        <w:rPr>
          <w:rFonts w:ascii="Times New Roman" w:hAnsi="Times New Roman" w:eastAsia="仿宋_GB2312" w:cs="Times New Roman"/>
          <w:sz w:val="30"/>
          <w:szCs w:val="30"/>
          <w:lang w:val="zh-CN"/>
        </w:rPr>
      </w:pPr>
      <w:r>
        <w:rPr>
          <w:rFonts w:ascii="Times New Roman" w:hAnsi="Times New Roman" w:eastAsia="仿宋_GB2312" w:cs="Times New Roman"/>
          <w:b/>
          <w:kern w:val="0"/>
          <w:sz w:val="30"/>
          <w:szCs w:val="30"/>
        </w:rPr>
        <w:t>通过广告电影电视等环境宣传品宣传生态文化。</w:t>
      </w:r>
      <w:r>
        <w:rPr>
          <w:rFonts w:hint="eastAsia" w:ascii="Times New Roman" w:hAnsi="Times New Roman" w:eastAsia="仿宋_GB2312" w:cs="Times New Roman"/>
          <w:sz w:val="30"/>
          <w:szCs w:val="30"/>
          <w:lang w:val="zh-CN"/>
        </w:rPr>
        <w:t>在交通要道、标志性建筑、旅游景点等典型地点设立广告牌或展板，播放生态文明建设公益广告，向本地居民或游客宣传生态文化。与相关企业合作，在消费量大的购物袋、旅游景点门票等上面打印生态文化宣传标语。</w:t>
      </w:r>
    </w:p>
    <w:p w14:paraId="6F1E09EE">
      <w:pPr>
        <w:adjustRightInd w:val="0"/>
        <w:snapToGrid w:val="0"/>
        <w:spacing w:line="500" w:lineRule="exact"/>
        <w:ind w:firstLine="602" w:firstLineChars="200"/>
        <w:rPr>
          <w:rFonts w:ascii="Times New Roman" w:hAnsi="Times New Roman" w:eastAsia="仿宋_GB2312" w:cs="Times New Roman"/>
          <w:sz w:val="30"/>
          <w:szCs w:val="30"/>
          <w:lang w:val="zh-CN"/>
        </w:rPr>
      </w:pPr>
      <w:r>
        <w:rPr>
          <w:rFonts w:ascii="Times New Roman" w:hAnsi="Times New Roman" w:eastAsia="仿宋_GB2312" w:cs="Times New Roman"/>
          <w:b/>
          <w:kern w:val="0"/>
          <w:sz w:val="30"/>
          <w:szCs w:val="30"/>
        </w:rPr>
        <w:t>举办文化活动宣传生态文化。</w:t>
      </w:r>
      <w:r>
        <w:rPr>
          <w:rFonts w:hint="eastAsia" w:ascii="Times New Roman" w:hAnsi="Times New Roman" w:eastAsia="仿宋_GB2312" w:cs="Times New Roman"/>
          <w:sz w:val="30"/>
          <w:szCs w:val="30"/>
          <w:lang w:val="zh-CN"/>
        </w:rPr>
        <w:t>组织开展生态文明知识竞赛、诗歌演讲比赛、摄影比赛等活动，提高生态文化宣传的趣味性。充分发挥洛隆独特文化资源优势，打造以地方特色文化为主要内容的文化艺术品牌，通过举办艺术表演、举办展览、互办文化周、缔结文化交流、友好民间文化往来等多种形式，做大做强一批对外文化交流的品牌。</w:t>
      </w:r>
    </w:p>
    <w:p w14:paraId="6E6FF0A3">
      <w:pPr>
        <w:spacing w:line="580" w:lineRule="exact"/>
        <w:jc w:val="center"/>
        <w:outlineLvl w:val="1"/>
        <w:rPr>
          <w:rFonts w:ascii="Times New Roman" w:hAnsi="Times New Roman" w:eastAsia="黑体" w:cs="Times New Roman"/>
          <w:bCs/>
          <w:sz w:val="32"/>
          <w:szCs w:val="32"/>
        </w:rPr>
      </w:pPr>
      <w:bookmarkStart w:id="202" w:name="_Toc611"/>
      <w:r>
        <w:rPr>
          <w:rFonts w:ascii="Times New Roman" w:hAnsi="Times New Roman" w:eastAsia="黑体" w:cs="Times New Roman"/>
          <w:bCs/>
          <w:sz w:val="32"/>
          <w:szCs w:val="32"/>
        </w:rPr>
        <w:t>第二节  弘扬特色传统文化</w:t>
      </w:r>
      <w:bookmarkEnd w:id="202"/>
    </w:p>
    <w:p w14:paraId="576F7CBF">
      <w:pPr>
        <w:spacing w:line="580" w:lineRule="exact"/>
        <w:ind w:firstLine="602" w:firstLineChars="200"/>
        <w:outlineLvl w:val="2"/>
        <w:rPr>
          <w:rFonts w:ascii="Times New Roman" w:hAnsi="Times New Roman" w:eastAsia="楷体_GB2312" w:cs="Times New Roman"/>
          <w:b/>
          <w:bCs/>
          <w:sz w:val="30"/>
          <w:szCs w:val="30"/>
        </w:rPr>
      </w:pPr>
      <w:r>
        <w:rPr>
          <w:rFonts w:ascii="Times New Roman" w:hAnsi="Times New Roman" w:eastAsia="楷体_GB2312" w:cs="Times New Roman"/>
          <w:b/>
          <w:bCs/>
          <w:sz w:val="30"/>
          <w:szCs w:val="30"/>
        </w:rPr>
        <w:t>（一）</w:t>
      </w:r>
      <w:r>
        <w:rPr>
          <w:rFonts w:hint="eastAsia" w:ascii="Times New Roman" w:hAnsi="Times New Roman" w:eastAsia="楷体_GB2312" w:cs="Times New Roman"/>
          <w:b/>
          <w:bCs/>
          <w:sz w:val="30"/>
          <w:szCs w:val="30"/>
        </w:rPr>
        <w:t>传承创新优秀传统文化</w:t>
      </w:r>
    </w:p>
    <w:p w14:paraId="6B119C00">
      <w:pPr>
        <w:adjustRightInd w:val="0"/>
        <w:snapToGrid w:val="0"/>
        <w:spacing w:line="500" w:lineRule="exact"/>
        <w:ind w:firstLine="600" w:firstLineChars="200"/>
        <w:rPr>
          <w:rFonts w:ascii="Times New Roman" w:hAnsi="Times New Roman" w:eastAsia="仿宋_GB2312" w:cs="Times New Roman"/>
          <w:sz w:val="30"/>
          <w:szCs w:val="30"/>
          <w:lang w:val="zh-CN"/>
        </w:rPr>
      </w:pPr>
      <w:r>
        <w:rPr>
          <w:rFonts w:hint="eastAsia" w:ascii="Times New Roman" w:hAnsi="Times New Roman" w:eastAsia="仿宋_GB2312" w:cs="Times New Roman"/>
          <w:sz w:val="30"/>
          <w:szCs w:val="30"/>
          <w:lang w:val="zh-CN"/>
        </w:rPr>
        <w:t>实施优秀传统文化传承创新工程，深入挖掘传统文化蕴含的优秀思想观念、人文精神、道德规范，充分发挥其在凝聚人心、教化群众、淳化民风中的重要作用，在保护传承的基础上不断赋予新的时代内涵。划定乡村建设的历史文化保护线，保护好历史文化名镇名村、传统村落、传统民居、文物古迹、农业遗迹等物质文化遗产。重点做好硕督古城、硕督清代汉墓群、茶马古道遗迹、十八军红色文化遗迹的保护及合理开发利用；加大义章寺、硕督寺、朗拉寺、孜托寺、达吉寺寺院等古建筑保护力度，支持其通过对文物和古建筑修复，发展具有历史记忆特点的乡村旅游。实施非物质文化遗产传承发展工程，收集整理传统技艺、乡村饮食、历史文化、民俗文化，民间歌舞、民间故事等，建立非物质文化遗产名录及传承人体系，推进申遗工作，实施非遗传承人研修培训传习。</w:t>
      </w:r>
    </w:p>
    <w:p w14:paraId="1D9AAC6E">
      <w:pPr>
        <w:spacing w:line="580" w:lineRule="exact"/>
        <w:ind w:firstLine="602" w:firstLineChars="200"/>
        <w:outlineLvl w:val="2"/>
        <w:rPr>
          <w:rFonts w:ascii="Times New Roman" w:hAnsi="Times New Roman" w:eastAsia="楷体_GB2312" w:cs="Times New Roman"/>
          <w:b/>
          <w:bCs/>
          <w:sz w:val="30"/>
          <w:szCs w:val="30"/>
        </w:rPr>
      </w:pPr>
      <w:r>
        <w:rPr>
          <w:rFonts w:ascii="Times New Roman" w:hAnsi="Times New Roman" w:eastAsia="楷体_GB2312" w:cs="Times New Roman"/>
          <w:b/>
          <w:bCs/>
          <w:sz w:val="30"/>
          <w:szCs w:val="30"/>
        </w:rPr>
        <w:t>（二）</w:t>
      </w:r>
      <w:r>
        <w:rPr>
          <w:rFonts w:hint="eastAsia" w:ascii="Times New Roman" w:hAnsi="Times New Roman" w:eastAsia="楷体_GB2312" w:cs="Times New Roman"/>
          <w:b/>
          <w:bCs/>
          <w:sz w:val="30"/>
          <w:szCs w:val="30"/>
        </w:rPr>
        <w:t>发展特色乡土文化</w:t>
      </w:r>
    </w:p>
    <w:p w14:paraId="51D5B853">
      <w:pPr>
        <w:adjustRightInd w:val="0"/>
        <w:snapToGrid w:val="0"/>
        <w:spacing w:line="500" w:lineRule="exact"/>
        <w:ind w:firstLine="600" w:firstLineChars="200"/>
        <w:rPr>
          <w:rFonts w:ascii="Times New Roman" w:hAnsi="Times New Roman" w:eastAsia="仿宋_GB2312" w:cs="Times New Roman"/>
          <w:sz w:val="30"/>
          <w:szCs w:val="30"/>
          <w:lang w:val="zh-CN"/>
        </w:rPr>
      </w:pPr>
      <w:r>
        <w:rPr>
          <w:rFonts w:hint="eastAsia" w:ascii="Times New Roman" w:hAnsi="Times New Roman" w:eastAsia="仿宋_GB2312" w:cs="Times New Roman"/>
          <w:sz w:val="30"/>
          <w:szCs w:val="30"/>
          <w:lang w:val="zh-CN"/>
        </w:rPr>
        <w:t>扶持发展民间工艺和文化产品，挖掘培养本土文化人才，建设特色文化产业乡镇、文化产业特色村，发展特色文化产业群。实施传统工艺振兴计划，培育具有地域特色和品牌价值的传统工艺产品，开发传统节日文化用品和民间艺术、民俗表演项目。支持康沙热巴舞、锅庄舞、硕督狮子舞等艺术和康沙陶瓷、彩绘、“罗布”民族手工技艺、洛宗糌粑、玉西马根木雕艺、硕督藏汉团结点心等工艺传承人开展传承传播活动，促进文化资源与现代消费需求有效对接，培育形成一批特色文化，推动文化与旅游、休闲农业等产业深度融合，以文化振兴促进全县一二三产业融合发展。</w:t>
      </w:r>
    </w:p>
    <w:p w14:paraId="0F0D231E">
      <w:pPr>
        <w:spacing w:line="580" w:lineRule="exact"/>
        <w:ind w:firstLine="602" w:firstLineChars="200"/>
        <w:outlineLvl w:val="2"/>
        <w:rPr>
          <w:rFonts w:ascii="Times New Roman" w:hAnsi="Times New Roman" w:eastAsia="楷体_GB2312" w:cs="Times New Roman"/>
          <w:b/>
          <w:bCs/>
          <w:sz w:val="30"/>
          <w:szCs w:val="30"/>
        </w:rPr>
      </w:pPr>
      <w:r>
        <w:rPr>
          <w:rFonts w:ascii="Times New Roman" w:hAnsi="Times New Roman" w:eastAsia="楷体_GB2312" w:cs="Times New Roman"/>
          <w:b/>
          <w:bCs/>
          <w:sz w:val="30"/>
          <w:szCs w:val="30"/>
        </w:rPr>
        <w:t>（三）</w:t>
      </w:r>
      <w:r>
        <w:rPr>
          <w:rFonts w:hint="eastAsia" w:ascii="Times New Roman" w:hAnsi="Times New Roman" w:eastAsia="楷体_GB2312" w:cs="Times New Roman"/>
          <w:b/>
          <w:bCs/>
          <w:sz w:val="30"/>
          <w:szCs w:val="30"/>
        </w:rPr>
        <w:t>重塑乡村文化生</w:t>
      </w:r>
    </w:p>
    <w:p w14:paraId="0608FD02">
      <w:pPr>
        <w:adjustRightInd w:val="0"/>
        <w:snapToGrid w:val="0"/>
        <w:spacing w:line="500" w:lineRule="exact"/>
        <w:ind w:firstLine="600" w:firstLineChars="200"/>
        <w:rPr>
          <w:rFonts w:ascii="Times New Roman" w:hAnsi="Times New Roman" w:eastAsia="仿宋_GB2312" w:cs="Times New Roman"/>
          <w:sz w:val="30"/>
          <w:szCs w:val="30"/>
          <w:lang w:val="zh-CN"/>
        </w:rPr>
      </w:pPr>
      <w:r>
        <w:rPr>
          <w:rFonts w:hint="eastAsia" w:ascii="Times New Roman" w:hAnsi="Times New Roman" w:eastAsia="仿宋_GB2312" w:cs="Times New Roman"/>
          <w:sz w:val="30"/>
          <w:szCs w:val="30"/>
          <w:lang w:val="zh-CN"/>
        </w:rPr>
        <w:t>紧密结合美丽乡村建设，深入挖掘乡村历史记忆和特色文化符号，盘活地方文化资源，保护传承各具特色的民居民俗原生形态，走特色化、差异化发展之路。以形神兼备为导向，注重保护乡村原有村落格局，把民族民间文化元素融入乡村建设，留住乡土气息，焕发乡村魅力。培育骨干文化队伍，引导企业家、文化工作者、退休人员、文化志愿者等投身乡村文化建设，开发乡村历史文化、民俗文化、生态文化等多种元素，深挖历史古韵，弘扬人文之美，重塑诗意闲适的人文环境和田绿草青的居住环境，重现原生田园风光和原本乡情乡愁。</w:t>
      </w:r>
    </w:p>
    <w:p w14:paraId="21DEF7AA">
      <w:pPr>
        <w:spacing w:line="580" w:lineRule="exact"/>
        <w:ind w:firstLine="602" w:firstLineChars="200"/>
        <w:outlineLvl w:val="2"/>
        <w:rPr>
          <w:rFonts w:ascii="Times New Roman" w:hAnsi="Times New Roman" w:eastAsia="楷体_GB2312" w:cs="Times New Roman"/>
          <w:b/>
          <w:bCs/>
          <w:sz w:val="30"/>
          <w:szCs w:val="30"/>
        </w:rPr>
      </w:pPr>
      <w:r>
        <w:rPr>
          <w:rFonts w:ascii="Times New Roman" w:hAnsi="Times New Roman" w:eastAsia="楷体_GB2312" w:cs="Times New Roman"/>
          <w:b/>
          <w:bCs/>
          <w:sz w:val="30"/>
          <w:szCs w:val="30"/>
        </w:rPr>
        <w:t>（四）</w:t>
      </w:r>
      <w:r>
        <w:rPr>
          <w:rFonts w:hint="eastAsia" w:ascii="Times New Roman" w:hAnsi="Times New Roman" w:eastAsia="楷体_GB2312" w:cs="Times New Roman"/>
          <w:b/>
          <w:bCs/>
          <w:sz w:val="30"/>
          <w:szCs w:val="30"/>
        </w:rPr>
        <w:t>大力繁荣文化事业</w:t>
      </w:r>
    </w:p>
    <w:p w14:paraId="01D0089B">
      <w:pPr>
        <w:adjustRightInd w:val="0"/>
        <w:snapToGrid w:val="0"/>
        <w:spacing w:line="500" w:lineRule="exact"/>
        <w:ind w:firstLine="600" w:firstLineChars="200"/>
        <w:rPr>
          <w:rFonts w:ascii="Times New Roman" w:hAnsi="Times New Roman" w:eastAsia="仿宋_GB2312" w:cs="Times New Roman"/>
          <w:sz w:val="30"/>
          <w:szCs w:val="30"/>
          <w:lang w:val="zh-CN"/>
        </w:rPr>
      </w:pPr>
      <w:r>
        <w:rPr>
          <w:rFonts w:hint="eastAsia" w:ascii="Times New Roman" w:hAnsi="Times New Roman" w:eastAsia="仿宋_GB2312" w:cs="Times New Roman"/>
          <w:sz w:val="30"/>
          <w:szCs w:val="30"/>
          <w:lang w:val="zh-CN"/>
        </w:rPr>
        <w:t>健全公共文化服务体系。推进县文体中心、文化广场、文化公园等公共文化设施建设，按照一院多能、一室多用，统筹推进县乡（镇）、村（社）三级文化设施升级改造。实施公共博物馆、图书馆、文化站等设施免费开放，鼓励机关单位、企业、学校等各类文化设施对外开放，构建多层次、多方式的公共文化服务供给体系。</w:t>
      </w:r>
    </w:p>
    <w:p w14:paraId="24E6DF9A">
      <w:pPr>
        <w:adjustRightInd w:val="0"/>
        <w:snapToGrid w:val="0"/>
        <w:spacing w:line="500" w:lineRule="exact"/>
        <w:ind w:firstLine="600" w:firstLineChars="200"/>
        <w:rPr>
          <w:rFonts w:ascii="Times New Roman" w:hAnsi="Times New Roman" w:eastAsia="仿宋_GB2312" w:cs="Times New Roman"/>
          <w:sz w:val="30"/>
          <w:szCs w:val="30"/>
          <w:lang w:val="zh-CN"/>
        </w:rPr>
      </w:pPr>
      <w:r>
        <w:rPr>
          <w:rFonts w:hint="eastAsia" w:ascii="Times New Roman" w:hAnsi="Times New Roman" w:eastAsia="仿宋_GB2312" w:cs="Times New Roman"/>
          <w:sz w:val="30"/>
          <w:szCs w:val="30"/>
          <w:lang w:val="zh-CN"/>
        </w:rPr>
        <w:t>增加公共文化产品和服务供给。继续开展文化惠民工程，持续实施国家文化信息资源共享工程、数字电影放映工程、农家书屋工程，充分运用文化科技卫生法律爱国爱教“五下乡”、文化进万家、送欢乐下基层、文艺志愿服务等平台载体，为乡村提供更多更好的公共文化产品和服务。创新公共文化供给方式，推广政府购买公共文化服务，运用市场机制引导社会力量参与文化服务。完善艺术创作机制，重点抓好“中国梦”和康巴文化主题创作，形成一批具有鲜明特色和社会影响力的公共文化项目和品牌。</w:t>
      </w:r>
    </w:p>
    <w:p w14:paraId="481CE0C0">
      <w:pPr>
        <w:adjustRightInd w:val="0"/>
        <w:snapToGrid w:val="0"/>
        <w:spacing w:line="500" w:lineRule="exact"/>
        <w:ind w:firstLine="600" w:firstLineChars="200"/>
        <w:rPr>
          <w:rFonts w:ascii="Times New Roman" w:hAnsi="Times New Roman" w:eastAsia="仿宋_GB2312" w:cs="Times New Roman"/>
          <w:sz w:val="30"/>
          <w:szCs w:val="30"/>
          <w:lang w:val="zh-CN"/>
        </w:rPr>
      </w:pPr>
      <w:r>
        <w:rPr>
          <w:rFonts w:hint="eastAsia" w:ascii="Times New Roman" w:hAnsi="Times New Roman" w:eastAsia="仿宋_GB2312" w:cs="Times New Roman"/>
          <w:sz w:val="30"/>
          <w:szCs w:val="30"/>
          <w:lang w:val="zh-CN"/>
        </w:rPr>
        <w:t>开展多种形式的群众文化活动。建立群众文艺扶持机制，积极培育民间艺术组织，支持乡村组建各类群众文化团队，演绎具有新时代特点的洛隆乡土文化。办好“3·28百万农奴解放纪念日”、国庆节主题活动，举办赛马、非遗展演等传统文化活动，组织开展特色节庆民俗活动、群众性文化体育活动等。</w:t>
      </w:r>
    </w:p>
    <w:p w14:paraId="16E7135F">
      <w:pPr>
        <w:adjustRightInd w:val="0"/>
        <w:snapToGrid w:val="0"/>
        <w:spacing w:line="580" w:lineRule="exact"/>
        <w:ind w:firstLine="602" w:firstLineChars="200"/>
        <w:rPr>
          <w:rFonts w:ascii="Times New Roman" w:hAnsi="Times New Roman" w:eastAsia="楷体_GB2312" w:cs="Times New Roman"/>
          <w:b/>
          <w:bCs/>
          <w:sz w:val="30"/>
          <w:szCs w:val="30"/>
        </w:rPr>
      </w:pPr>
      <w:r>
        <w:rPr>
          <w:rFonts w:ascii="Times New Roman" w:hAnsi="Times New Roman" w:eastAsia="楷体_GB2312" w:cs="Times New Roman"/>
          <w:b/>
          <w:bCs/>
          <w:sz w:val="30"/>
          <w:szCs w:val="30"/>
        </w:rPr>
        <w:t>（五）培育壮大文化产业</w:t>
      </w:r>
    </w:p>
    <w:p w14:paraId="39DEF363">
      <w:pPr>
        <w:adjustRightInd w:val="0"/>
        <w:snapToGrid w:val="0"/>
        <w:spacing w:line="500" w:lineRule="exact"/>
        <w:ind w:firstLine="600" w:firstLineChars="200"/>
        <w:rPr>
          <w:rFonts w:ascii="Times New Roman" w:hAnsi="Times New Roman" w:eastAsia="仿宋_GB2312" w:cs="Times New Roman"/>
          <w:sz w:val="30"/>
          <w:szCs w:val="30"/>
          <w:lang w:val="zh-CN"/>
        </w:rPr>
      </w:pPr>
      <w:r>
        <w:rPr>
          <w:rFonts w:hint="eastAsia" w:ascii="Times New Roman" w:hAnsi="Times New Roman" w:eastAsia="仿宋_GB2312" w:cs="Times New Roman"/>
          <w:sz w:val="30"/>
          <w:szCs w:val="30"/>
          <w:lang w:val="zh-CN"/>
        </w:rPr>
        <w:t>推动文化产业蓬勃发展。深入挖掘民族文化资源、历史文化资源和自然景观资源，重点建设民族工艺品、民族服饰、民族歌舞、民族文化旅游等一批带动性强的产业项目，培育一批区域特色文化产业，建设一批特色文化村镇，打造一批以“俄西乡杏花艺术节”、“康沙热巴”为代表的文化品牌。</w:t>
      </w:r>
    </w:p>
    <w:p w14:paraId="392BE891">
      <w:pPr>
        <w:adjustRightInd w:val="0"/>
        <w:snapToGrid w:val="0"/>
        <w:spacing w:line="500" w:lineRule="exact"/>
        <w:ind w:firstLine="600" w:firstLineChars="200"/>
        <w:rPr>
          <w:rFonts w:ascii="Times New Roman" w:hAnsi="Times New Roman" w:eastAsia="仿宋_GB2312" w:cs="Times New Roman"/>
          <w:sz w:val="30"/>
          <w:szCs w:val="30"/>
          <w:lang w:val="zh-CN"/>
        </w:rPr>
      </w:pPr>
      <w:r>
        <w:rPr>
          <w:rFonts w:hint="eastAsia" w:ascii="Times New Roman" w:hAnsi="Times New Roman" w:eastAsia="仿宋_GB2312" w:cs="Times New Roman"/>
          <w:sz w:val="30"/>
          <w:szCs w:val="30"/>
          <w:lang w:val="zh-CN"/>
        </w:rPr>
        <w:t>推进文化产业融合发展。依托“文化+旅游+X产业”模式，推动文化产业与旅游、商贸、教育、金融、科技等相关产业的深度融合。</w:t>
      </w:r>
    </w:p>
    <w:p w14:paraId="6485E714">
      <w:pPr>
        <w:spacing w:line="580" w:lineRule="exact"/>
        <w:jc w:val="center"/>
        <w:outlineLvl w:val="1"/>
        <w:rPr>
          <w:rFonts w:ascii="Times New Roman" w:hAnsi="Times New Roman" w:eastAsia="黑体" w:cs="Times New Roman"/>
          <w:bCs/>
          <w:sz w:val="32"/>
          <w:szCs w:val="32"/>
        </w:rPr>
      </w:pPr>
      <w:bookmarkStart w:id="203" w:name="_Toc21913"/>
      <w:bookmarkStart w:id="204" w:name="_Toc26275"/>
      <w:r>
        <w:rPr>
          <w:rFonts w:ascii="Times New Roman" w:hAnsi="Times New Roman" w:eastAsia="黑体" w:cs="Times New Roman"/>
          <w:bCs/>
          <w:sz w:val="32"/>
          <w:szCs w:val="32"/>
        </w:rPr>
        <w:t>第</w:t>
      </w:r>
      <w:r>
        <w:rPr>
          <w:rFonts w:hint="eastAsia" w:ascii="Times New Roman" w:hAnsi="Times New Roman" w:eastAsia="黑体" w:cs="Times New Roman"/>
          <w:bCs/>
          <w:sz w:val="32"/>
          <w:szCs w:val="32"/>
        </w:rPr>
        <w:t>三</w:t>
      </w:r>
      <w:r>
        <w:rPr>
          <w:rFonts w:ascii="Times New Roman" w:hAnsi="Times New Roman" w:eastAsia="黑体" w:cs="Times New Roman"/>
          <w:bCs/>
          <w:sz w:val="32"/>
          <w:szCs w:val="32"/>
        </w:rPr>
        <w:t>节  提升生态文明共建共享水平</w:t>
      </w:r>
      <w:bookmarkEnd w:id="203"/>
      <w:bookmarkEnd w:id="204"/>
    </w:p>
    <w:bookmarkEnd w:id="198"/>
    <w:p w14:paraId="7FFED363">
      <w:pPr>
        <w:spacing w:line="580" w:lineRule="exact"/>
        <w:ind w:firstLine="602" w:firstLineChars="200"/>
        <w:outlineLvl w:val="2"/>
        <w:rPr>
          <w:rFonts w:ascii="Times New Roman" w:hAnsi="Times New Roman" w:eastAsia="楷体_GB2312" w:cs="Times New Roman"/>
          <w:b/>
          <w:bCs/>
          <w:sz w:val="30"/>
          <w:szCs w:val="30"/>
        </w:rPr>
      </w:pPr>
      <w:bookmarkStart w:id="205" w:name="_Toc524445081"/>
      <w:bookmarkStart w:id="206" w:name="_Toc528335098"/>
      <w:bookmarkStart w:id="207" w:name="_Toc522719062"/>
      <w:r>
        <w:rPr>
          <w:rFonts w:ascii="Times New Roman" w:hAnsi="Times New Roman" w:eastAsia="楷体_GB2312" w:cs="Times New Roman"/>
          <w:b/>
          <w:bCs/>
          <w:sz w:val="30"/>
          <w:szCs w:val="30"/>
        </w:rPr>
        <w:t>（</w:t>
      </w:r>
      <w:r>
        <w:rPr>
          <w:rFonts w:hint="eastAsia" w:ascii="Times New Roman" w:hAnsi="Times New Roman" w:eastAsia="楷体_GB2312" w:cs="Times New Roman"/>
          <w:b/>
          <w:bCs/>
          <w:sz w:val="30"/>
          <w:szCs w:val="30"/>
        </w:rPr>
        <w:t>一</w:t>
      </w:r>
      <w:r>
        <w:rPr>
          <w:rFonts w:ascii="Times New Roman" w:hAnsi="Times New Roman" w:eastAsia="楷体_GB2312" w:cs="Times New Roman"/>
          <w:b/>
          <w:bCs/>
          <w:sz w:val="30"/>
          <w:szCs w:val="30"/>
        </w:rPr>
        <w:t>）提升公共文化服务水平</w:t>
      </w:r>
    </w:p>
    <w:p w14:paraId="6E007718">
      <w:pPr>
        <w:adjustRightInd w:val="0"/>
        <w:snapToGrid w:val="0"/>
        <w:spacing w:line="500" w:lineRule="exact"/>
        <w:ind w:firstLine="600" w:firstLineChars="200"/>
        <w:rPr>
          <w:rFonts w:ascii="Times New Roman" w:hAnsi="Times New Roman" w:eastAsia="仿宋_GB2312" w:cs="Times New Roman"/>
          <w:sz w:val="30"/>
          <w:szCs w:val="30"/>
          <w:lang w:val="zh-CN"/>
        </w:rPr>
      </w:pPr>
      <w:r>
        <w:rPr>
          <w:rFonts w:hint="eastAsia" w:ascii="Times New Roman" w:hAnsi="Times New Roman" w:eastAsia="仿宋_GB2312" w:cs="Times New Roman"/>
          <w:sz w:val="30"/>
          <w:szCs w:val="30"/>
          <w:lang w:val="zh-CN"/>
        </w:rPr>
        <w:t>坚持以社会主义核心价值观引领文化建设，不断完善公共文化基础设施，推进公共文化服务创新发展，增加优秀文化产品供给，健全文化遗产保护机制，推进城乡普惠性公共文化服务体系一体建设。进一步完善县乡村三级公共文化设施，新建县图书馆、县文化馆、县地质博物馆等一批县级重点公共文化设施，推进文化基础设施标准化、资源共享化、服务系统网络化、管理运行一体化；推进县级融媒体中心、数字广播电视户户通和智慧广电建设，建立健全应急广播平台及传输覆盖网络。完善乡（镇）村文化站功能布局和设施设备配备，实施一批乡镇文化站提升改造工程，打造集综合活动、图书阅览、数字化文化服务、广播宣传、体育健身等于一体的综合性文化服务机构。纵深推进农村文化基础设施建设，提升改造一批村级文化活动中心，继续实施文化共享工程，形成覆盖城乡的公共文化数字化信息服务体系。</w:t>
      </w:r>
    </w:p>
    <w:p w14:paraId="22E5D6EC">
      <w:pPr>
        <w:adjustRightInd w:val="0"/>
        <w:snapToGrid w:val="0"/>
        <w:spacing w:line="500" w:lineRule="exact"/>
        <w:ind w:firstLine="600" w:firstLineChars="200"/>
        <w:rPr>
          <w:rFonts w:ascii="Times New Roman" w:hAnsi="Times New Roman" w:eastAsia="仿宋_GB2312" w:cs="Times New Roman"/>
          <w:sz w:val="30"/>
          <w:szCs w:val="30"/>
          <w:lang w:val="zh-CN"/>
        </w:rPr>
      </w:pPr>
      <w:r>
        <w:rPr>
          <w:rFonts w:hint="eastAsia" w:ascii="Times New Roman" w:hAnsi="Times New Roman" w:eastAsia="仿宋_GB2312" w:cs="Times New Roman"/>
          <w:sz w:val="30"/>
          <w:szCs w:val="30"/>
          <w:lang w:val="zh-CN"/>
        </w:rPr>
        <w:t>将生态文化纳入社会主义文化体系。弘扬传统文化中生态文明理念，将普世的生态价值观、 生态道德观、生态发展观、生态消费观、生态政绩观等生态文明 核心理念，融入社会主义精神文明建设，推动形成适应新时代要 求和新发展理念的思想观念、文明风尚和行为规范。加强生态文化传播，扶持生态文学作品、公益 广告等生态文化产品，不断丰富生态文化公共产品和服务的内容。 将生态文化融入现代文化产业体系建设，打造生态环保主题公园、 长江生态文化体验带、藏区生态文化示范带等，推动生态文化成果产业化。加大农村和欠发达地区生态文化建设的帮扶力度，均衡生态文化公共产品和服务供给的城乡差距，推动生态文化服务均等化，为人民群众参与生态文化建设搭建更多舞台。</w:t>
      </w:r>
    </w:p>
    <w:p w14:paraId="6672D14E">
      <w:pPr>
        <w:spacing w:line="580" w:lineRule="exact"/>
        <w:ind w:firstLine="602" w:firstLineChars="200"/>
        <w:outlineLvl w:val="2"/>
        <w:rPr>
          <w:rFonts w:ascii="Times New Roman" w:hAnsi="Times New Roman" w:eastAsia="楷体_GB2312" w:cs="Times New Roman"/>
          <w:b/>
          <w:bCs/>
          <w:sz w:val="30"/>
          <w:szCs w:val="30"/>
        </w:rPr>
      </w:pPr>
      <w:r>
        <w:rPr>
          <w:rFonts w:ascii="Times New Roman" w:hAnsi="Times New Roman" w:eastAsia="楷体_GB2312" w:cs="Times New Roman"/>
          <w:b/>
          <w:bCs/>
          <w:sz w:val="30"/>
          <w:szCs w:val="30"/>
        </w:rPr>
        <w:t>（</w:t>
      </w:r>
      <w:r>
        <w:rPr>
          <w:rFonts w:hint="eastAsia" w:ascii="Times New Roman" w:hAnsi="Times New Roman" w:eastAsia="楷体_GB2312" w:cs="Times New Roman"/>
          <w:b/>
          <w:bCs/>
          <w:sz w:val="30"/>
          <w:szCs w:val="30"/>
        </w:rPr>
        <w:t>二</w:t>
      </w:r>
      <w:r>
        <w:rPr>
          <w:rFonts w:ascii="Times New Roman" w:hAnsi="Times New Roman" w:eastAsia="楷体_GB2312" w:cs="Times New Roman"/>
          <w:b/>
          <w:bCs/>
          <w:sz w:val="30"/>
          <w:szCs w:val="30"/>
        </w:rPr>
        <w:t>）多方面拓展公众参与渠道</w:t>
      </w:r>
      <w:bookmarkEnd w:id="205"/>
      <w:bookmarkEnd w:id="206"/>
      <w:bookmarkEnd w:id="207"/>
    </w:p>
    <w:p w14:paraId="5DD498AB">
      <w:pPr>
        <w:adjustRightInd w:val="0"/>
        <w:snapToGrid w:val="0"/>
        <w:spacing w:line="500" w:lineRule="exact"/>
        <w:ind w:firstLine="602" w:firstLineChars="200"/>
        <w:rPr>
          <w:rFonts w:ascii="Times New Roman" w:hAnsi="Times New Roman" w:eastAsia="仿宋_GB2312" w:cs="Times New Roman"/>
          <w:sz w:val="30"/>
          <w:szCs w:val="30"/>
          <w:lang w:val="zh-CN"/>
        </w:rPr>
      </w:pPr>
      <w:r>
        <w:rPr>
          <w:rFonts w:ascii="Times New Roman" w:hAnsi="Times New Roman" w:eastAsia="仿宋_GB2312" w:cs="Times New Roman"/>
          <w:b/>
          <w:kern w:val="0"/>
          <w:sz w:val="30"/>
          <w:szCs w:val="30"/>
        </w:rPr>
        <w:t>征求公众对生态文明建设的意见和建议。</w:t>
      </w:r>
      <w:r>
        <w:rPr>
          <w:rFonts w:hint="eastAsia" w:ascii="Times New Roman" w:hAnsi="Times New Roman" w:eastAsia="仿宋_GB2312" w:cs="Times New Roman"/>
          <w:sz w:val="30"/>
          <w:szCs w:val="30"/>
          <w:lang w:val="zh-CN"/>
        </w:rPr>
        <w:t>在洛隆县政务网等相关网站开辟意见专栏，在旅游景区、客运中心等人流量大的地区设置意见薄，了解公众对生态文明建设的总体态度、对目前生态文明建设的看法、对未来生态文明建设的相关诉求，将调查结果及时反馈给决策部门和有关单位并作为制定下一步生态文明建设措施的重要依据。切实维护人民群众权益，及时妥善处理各类环境信访投诉和生态文明建设相关举报。对重大建设项目，特别是一些污染较大、不符合国家产业政策或产业调整方向的项目，在立项、环评和验收阶段都邀请群众代表参与。生态文明相关的重大决策在制定、修改、完善的过程中进行社会听证。</w:t>
      </w:r>
    </w:p>
    <w:p w14:paraId="3FF1B136">
      <w:pPr>
        <w:adjustRightInd w:val="0"/>
        <w:snapToGrid w:val="0"/>
        <w:spacing w:line="500" w:lineRule="exact"/>
        <w:ind w:firstLine="602" w:firstLineChars="200"/>
        <w:rPr>
          <w:rFonts w:ascii="Times New Roman" w:hAnsi="Times New Roman" w:eastAsia="仿宋_GB2312" w:cs="Times New Roman"/>
          <w:sz w:val="30"/>
          <w:szCs w:val="30"/>
          <w:lang w:val="zh-CN"/>
        </w:rPr>
      </w:pPr>
      <w:r>
        <w:rPr>
          <w:rFonts w:ascii="Times New Roman" w:hAnsi="Times New Roman" w:eastAsia="仿宋_GB2312" w:cs="Times New Roman"/>
          <w:b/>
          <w:kern w:val="0"/>
          <w:sz w:val="30"/>
          <w:szCs w:val="30"/>
        </w:rPr>
        <w:t>加强生态文明建设参与互动。</w:t>
      </w:r>
      <w:r>
        <w:rPr>
          <w:rFonts w:hint="eastAsia" w:ascii="Times New Roman" w:hAnsi="Times New Roman" w:eastAsia="仿宋_GB2312" w:cs="Times New Roman"/>
          <w:sz w:val="30"/>
          <w:szCs w:val="30"/>
          <w:lang w:val="zh-CN"/>
        </w:rPr>
        <w:t>在生态文明电视和广播栏目开通热线电话，座谈访谈活动中设置观众互动环节，通过互动交流普及生态文明知识的同时吸引公众共同参与生态文明建设的讨论。开通生态文明建设官方论坛和官方微博，鼓励公众建立相关讨论组。通过互联网开展生态文明相关评比投票活动，吸引年轻人关注并参与生态文明建设。规范对新媒体的监管，保证公众有效参与生态文明建设的讨论并建言献策，群策群力开展生态文明建设。</w:t>
      </w:r>
    </w:p>
    <w:p w14:paraId="36283D55">
      <w:pPr>
        <w:adjustRightInd w:val="0"/>
        <w:snapToGrid w:val="0"/>
        <w:spacing w:line="500" w:lineRule="exact"/>
        <w:ind w:firstLine="602" w:firstLineChars="200"/>
        <w:rPr>
          <w:rFonts w:ascii="Times New Roman" w:hAnsi="Times New Roman" w:eastAsia="仿宋_GB2312" w:cs="Times New Roman"/>
          <w:sz w:val="30"/>
          <w:szCs w:val="30"/>
        </w:rPr>
      </w:pPr>
      <w:r>
        <w:rPr>
          <w:rFonts w:ascii="Times New Roman" w:hAnsi="Times New Roman" w:eastAsia="仿宋_GB2312" w:cs="Times New Roman"/>
          <w:b/>
          <w:kern w:val="0"/>
          <w:sz w:val="30"/>
          <w:szCs w:val="30"/>
        </w:rPr>
        <w:t>鼓励公众参与生态文明建设。</w:t>
      </w:r>
      <w:r>
        <w:rPr>
          <w:rFonts w:hint="eastAsia" w:ascii="Times New Roman" w:hAnsi="Times New Roman" w:eastAsia="仿宋_GB2312" w:cs="Times New Roman"/>
          <w:sz w:val="30"/>
          <w:szCs w:val="30"/>
          <w:lang w:val="zh-CN"/>
        </w:rPr>
        <w:t>实行环境有奖举报，鼓励社会各界依法有序监督生态环保工作。设立生态文明奖项，对生态文明建设正面典型或积极参与环保工作的个人或单位给予公开表扬、授予荣誉称号、给予物质奖励。对提出生态文明建设合理化建议并产生一定效益的公众给予奖励。</w:t>
      </w:r>
    </w:p>
    <w:p w14:paraId="40C5C21E">
      <w:pPr>
        <w:spacing w:line="580" w:lineRule="exact"/>
        <w:ind w:firstLine="602" w:firstLineChars="200"/>
        <w:outlineLvl w:val="2"/>
        <w:rPr>
          <w:rFonts w:ascii="Times New Roman" w:hAnsi="Times New Roman" w:eastAsia="楷体_GB2312" w:cs="Times New Roman"/>
          <w:b/>
          <w:bCs/>
          <w:sz w:val="30"/>
          <w:szCs w:val="30"/>
        </w:rPr>
      </w:pPr>
      <w:bookmarkStart w:id="208" w:name="_Toc528335099"/>
      <w:bookmarkStart w:id="209" w:name="_Toc522719063"/>
      <w:bookmarkStart w:id="210" w:name="_Toc524445082"/>
      <w:r>
        <w:rPr>
          <w:rFonts w:ascii="Times New Roman" w:hAnsi="Times New Roman" w:eastAsia="楷体_GB2312" w:cs="Times New Roman"/>
          <w:b/>
          <w:bCs/>
          <w:sz w:val="30"/>
          <w:szCs w:val="30"/>
        </w:rPr>
        <w:t>（</w:t>
      </w:r>
      <w:r>
        <w:rPr>
          <w:rFonts w:hint="eastAsia" w:ascii="Times New Roman" w:hAnsi="Times New Roman" w:eastAsia="楷体_GB2312" w:cs="Times New Roman"/>
          <w:b/>
          <w:bCs/>
          <w:sz w:val="30"/>
          <w:szCs w:val="30"/>
        </w:rPr>
        <w:t>三</w:t>
      </w:r>
      <w:r>
        <w:rPr>
          <w:rFonts w:ascii="Times New Roman" w:hAnsi="Times New Roman" w:eastAsia="楷体_GB2312" w:cs="Times New Roman"/>
          <w:b/>
          <w:bCs/>
          <w:sz w:val="30"/>
          <w:szCs w:val="30"/>
        </w:rPr>
        <w:t>）提升环境信息公开水平</w:t>
      </w:r>
      <w:bookmarkEnd w:id="208"/>
      <w:bookmarkEnd w:id="209"/>
      <w:bookmarkEnd w:id="210"/>
    </w:p>
    <w:p w14:paraId="7DB4C360">
      <w:pPr>
        <w:adjustRightInd w:val="0"/>
        <w:snapToGrid w:val="0"/>
        <w:spacing w:line="500" w:lineRule="exact"/>
        <w:ind w:firstLine="600" w:firstLineChars="200"/>
        <w:rPr>
          <w:rFonts w:ascii="Times New Roman" w:hAnsi="Times New Roman" w:eastAsia="仿宋_GB2312" w:cs="Times New Roman"/>
          <w:sz w:val="30"/>
          <w:szCs w:val="30"/>
          <w:lang w:val="zh-CN"/>
        </w:rPr>
      </w:pPr>
      <w:r>
        <w:rPr>
          <w:rFonts w:hint="eastAsia" w:ascii="Times New Roman" w:hAnsi="Times New Roman" w:eastAsia="仿宋_GB2312" w:cs="Times New Roman"/>
          <w:sz w:val="30"/>
          <w:szCs w:val="30"/>
          <w:lang w:val="zh-CN"/>
        </w:rPr>
        <w:t>利用政府网站、文化活动中心等载体，加大环境信息公开工作的宣传力度。及时发布环境质量公报、空气环境质量监测结果和预报、污染物减排结果、重大环境突发事件等信息，确保重要环境信息及时公开。扩大环境信息公开范围，让公众了解政府新出台的环保经济政策、环保领域的优惠政策，在环保部门政务公开基础上进一步实施生态文明建设示范县建设信息的公开化，接受社会公众监督。创新环境信息公开方式，对于公众关注的环境热点或重大舆情及时准确公开相关信息，可以邀请相关领域专家进行专业解读。</w:t>
      </w:r>
    </w:p>
    <w:p w14:paraId="1AB828D9">
      <w:pPr>
        <w:spacing w:line="580" w:lineRule="exact"/>
        <w:ind w:firstLine="602" w:firstLineChars="200"/>
        <w:outlineLvl w:val="2"/>
        <w:rPr>
          <w:rFonts w:ascii="Times New Roman" w:hAnsi="Times New Roman" w:eastAsia="楷体_GB2312" w:cs="Times New Roman"/>
          <w:b/>
          <w:bCs/>
          <w:sz w:val="30"/>
          <w:szCs w:val="30"/>
        </w:rPr>
      </w:pPr>
      <w:bookmarkStart w:id="211" w:name="_Toc528335100"/>
      <w:bookmarkStart w:id="212" w:name="_Toc522719064"/>
      <w:bookmarkStart w:id="213" w:name="_Toc524445083"/>
      <w:r>
        <w:rPr>
          <w:rFonts w:ascii="Times New Roman" w:hAnsi="Times New Roman" w:eastAsia="楷体_GB2312" w:cs="Times New Roman"/>
          <w:b/>
          <w:bCs/>
          <w:sz w:val="30"/>
          <w:szCs w:val="30"/>
        </w:rPr>
        <w:t>（</w:t>
      </w:r>
      <w:r>
        <w:rPr>
          <w:rFonts w:hint="eastAsia" w:ascii="Times New Roman" w:hAnsi="Times New Roman" w:eastAsia="楷体_GB2312" w:cs="Times New Roman"/>
          <w:b/>
          <w:bCs/>
          <w:sz w:val="30"/>
          <w:szCs w:val="30"/>
        </w:rPr>
        <w:t>四</w:t>
      </w:r>
      <w:r>
        <w:rPr>
          <w:rFonts w:ascii="Times New Roman" w:hAnsi="Times New Roman" w:eastAsia="楷体_GB2312" w:cs="Times New Roman"/>
          <w:b/>
          <w:bCs/>
          <w:sz w:val="30"/>
          <w:szCs w:val="30"/>
        </w:rPr>
        <w:t>）增强民间环保团体服务能力</w:t>
      </w:r>
      <w:bookmarkEnd w:id="211"/>
      <w:bookmarkEnd w:id="212"/>
      <w:bookmarkEnd w:id="213"/>
    </w:p>
    <w:p w14:paraId="2603C0C2">
      <w:pPr>
        <w:adjustRightInd w:val="0"/>
        <w:snapToGrid w:val="0"/>
        <w:spacing w:line="500" w:lineRule="exact"/>
        <w:ind w:firstLine="600" w:firstLineChars="200"/>
        <w:rPr>
          <w:rFonts w:ascii="Times New Roman" w:hAnsi="Times New Roman" w:eastAsia="仿宋_GB2312" w:cs="Times New Roman"/>
          <w:sz w:val="30"/>
          <w:szCs w:val="30"/>
          <w:lang w:val="zh-CN"/>
        </w:rPr>
      </w:pPr>
      <w:r>
        <w:rPr>
          <w:rFonts w:hint="eastAsia" w:ascii="Times New Roman" w:hAnsi="Times New Roman" w:eastAsia="仿宋_GB2312" w:cs="Times New Roman"/>
          <w:sz w:val="30"/>
          <w:szCs w:val="30"/>
          <w:lang w:val="zh-CN"/>
        </w:rPr>
        <w:t>加强民间环保团体规范化管理，确保各类民间环保团体能够合法、合规、合理地开展各项环保公益活动。对民间环保组织进行培训教育，提高民间环保团体成员的综合素质，为民间环保团体争取智力支持，促进民间环保团体与高校、科研院所等专业机构加强沟通联系，实现优势互补，帮助民间环保团体提升服务层次，在进行生态环境研究和教育、协助政府执行环境政策、监督企业环境行为等方面发挥作用。</w:t>
      </w:r>
    </w:p>
    <w:p w14:paraId="7906A798">
      <w:pPr>
        <w:spacing w:line="580" w:lineRule="exact"/>
        <w:jc w:val="center"/>
        <w:outlineLvl w:val="1"/>
        <w:rPr>
          <w:rFonts w:ascii="Times New Roman" w:hAnsi="Times New Roman" w:eastAsia="黑体" w:cs="Times New Roman"/>
          <w:bCs/>
          <w:sz w:val="32"/>
          <w:szCs w:val="32"/>
        </w:rPr>
      </w:pPr>
      <w:bookmarkStart w:id="214" w:name="_Toc20853"/>
      <w:bookmarkStart w:id="215" w:name="_Toc11594"/>
      <w:r>
        <w:rPr>
          <w:rFonts w:ascii="Times New Roman" w:hAnsi="Times New Roman" w:eastAsia="黑体" w:cs="Times New Roman"/>
          <w:bCs/>
          <w:sz w:val="32"/>
          <w:szCs w:val="32"/>
        </w:rPr>
        <w:t>第</w:t>
      </w:r>
      <w:r>
        <w:rPr>
          <w:rFonts w:hint="eastAsia" w:ascii="Times New Roman" w:hAnsi="Times New Roman" w:eastAsia="黑体" w:cs="Times New Roman"/>
          <w:bCs/>
          <w:sz w:val="32"/>
          <w:szCs w:val="32"/>
        </w:rPr>
        <w:t>四</w:t>
      </w:r>
      <w:r>
        <w:rPr>
          <w:rFonts w:ascii="Times New Roman" w:hAnsi="Times New Roman" w:eastAsia="黑体" w:cs="Times New Roman"/>
          <w:bCs/>
          <w:sz w:val="32"/>
          <w:szCs w:val="32"/>
        </w:rPr>
        <w:t>节  开展示范创建和绿色细胞建设</w:t>
      </w:r>
      <w:bookmarkEnd w:id="214"/>
      <w:bookmarkEnd w:id="215"/>
    </w:p>
    <w:p w14:paraId="0F585940">
      <w:pPr>
        <w:spacing w:line="580" w:lineRule="exact"/>
        <w:ind w:firstLine="602" w:firstLineChars="200"/>
        <w:outlineLvl w:val="2"/>
        <w:rPr>
          <w:rFonts w:ascii="Times New Roman" w:hAnsi="Times New Roman" w:eastAsia="楷体_GB2312" w:cs="Times New Roman"/>
          <w:b/>
          <w:bCs/>
          <w:sz w:val="30"/>
          <w:szCs w:val="30"/>
        </w:rPr>
      </w:pPr>
      <w:bookmarkStart w:id="216" w:name="_Toc46101705"/>
      <w:bookmarkStart w:id="217" w:name="_Toc53140381"/>
      <w:r>
        <w:rPr>
          <w:rFonts w:ascii="Times New Roman" w:hAnsi="Times New Roman" w:eastAsia="楷体_GB2312" w:cs="Times New Roman"/>
          <w:b/>
          <w:bCs/>
          <w:sz w:val="30"/>
          <w:szCs w:val="30"/>
        </w:rPr>
        <w:t>（一）</w:t>
      </w:r>
      <w:bookmarkEnd w:id="216"/>
      <w:bookmarkEnd w:id="217"/>
      <w:r>
        <w:rPr>
          <w:rFonts w:ascii="Times New Roman" w:hAnsi="Times New Roman" w:eastAsia="楷体_GB2312" w:cs="Times New Roman"/>
          <w:b/>
          <w:bCs/>
          <w:sz w:val="30"/>
          <w:szCs w:val="30"/>
        </w:rPr>
        <w:t>开展“两山”实践创新基地创建工作</w:t>
      </w:r>
    </w:p>
    <w:p w14:paraId="4B64966F">
      <w:pPr>
        <w:adjustRightInd w:val="0"/>
        <w:snapToGrid w:val="0"/>
        <w:spacing w:line="500" w:lineRule="exact"/>
        <w:ind w:firstLine="600" w:firstLineChars="200"/>
        <w:rPr>
          <w:rFonts w:ascii="Times New Roman" w:hAnsi="Times New Roman" w:eastAsia="仿宋_GB2312" w:cs="Times New Roman"/>
          <w:sz w:val="30"/>
          <w:szCs w:val="30"/>
          <w:lang w:val="zh-CN"/>
        </w:rPr>
      </w:pPr>
      <w:r>
        <w:rPr>
          <w:rFonts w:hint="eastAsia" w:ascii="Times New Roman" w:hAnsi="Times New Roman" w:eastAsia="仿宋_GB2312" w:cs="Times New Roman"/>
          <w:sz w:val="30"/>
          <w:szCs w:val="30"/>
          <w:lang w:val="zh-CN"/>
        </w:rPr>
        <w:t>以点带面，形成“绿水青山就是金山银山、冰天雪地也是金山银山”的绿色生态发展之路，打造生态和经济良性互动的绿色发展方式，让绿水青山、冰天雪地源源不断地带来金山银山，明显改善全县生态环境质量、营造绿水青山，为社会经济发展和生态文明建设夯实基础，以绿水青山保障金山银山，生态文明建设水平全面提升，产业结构和产业布局调整全面完成，生态经济体系全面建立，清洁生产水平、碳排放和污染物排放强度达到</w:t>
      </w:r>
      <w:r>
        <w:rPr>
          <w:rFonts w:hint="eastAsia" w:ascii="Times New Roman" w:hAnsi="Times New Roman" w:eastAsia="仿宋_GB2312" w:cs="Times New Roman"/>
          <w:sz w:val="30"/>
          <w:szCs w:val="30"/>
        </w:rPr>
        <w:t>区内</w:t>
      </w:r>
      <w:r>
        <w:rPr>
          <w:rFonts w:hint="eastAsia" w:ascii="Times New Roman" w:hAnsi="Times New Roman" w:eastAsia="仿宋_GB2312" w:cs="Times New Roman"/>
          <w:sz w:val="30"/>
          <w:szCs w:val="30"/>
          <w:lang w:val="zh-CN"/>
        </w:rPr>
        <w:t>先进水平，生态文明理念深入人心。</w:t>
      </w:r>
    </w:p>
    <w:p w14:paraId="6CEC0447">
      <w:pPr>
        <w:spacing w:line="580" w:lineRule="exact"/>
        <w:ind w:firstLine="602" w:firstLineChars="200"/>
        <w:outlineLvl w:val="2"/>
        <w:rPr>
          <w:rFonts w:ascii="Times New Roman" w:hAnsi="Times New Roman" w:eastAsia="楷体_GB2312" w:cs="Times New Roman"/>
          <w:b/>
          <w:bCs/>
          <w:sz w:val="30"/>
          <w:szCs w:val="30"/>
        </w:rPr>
      </w:pPr>
      <w:r>
        <w:rPr>
          <w:rFonts w:ascii="Times New Roman" w:hAnsi="Times New Roman" w:eastAsia="楷体_GB2312" w:cs="Times New Roman"/>
          <w:b/>
          <w:bCs/>
          <w:sz w:val="30"/>
          <w:szCs w:val="30"/>
        </w:rPr>
        <w:t>（二）推进绿色细胞建设</w:t>
      </w:r>
    </w:p>
    <w:p w14:paraId="356CFD79">
      <w:pPr>
        <w:adjustRightInd w:val="0"/>
        <w:snapToGrid w:val="0"/>
        <w:spacing w:line="500" w:lineRule="exact"/>
        <w:ind w:firstLine="602" w:firstLineChars="200"/>
        <w:rPr>
          <w:rFonts w:ascii="Times New Roman" w:hAnsi="Times New Roman" w:eastAsia="仿宋_GB2312" w:cs="Times New Roman"/>
          <w:sz w:val="30"/>
          <w:szCs w:val="30"/>
          <w:lang w:val="zh-CN"/>
        </w:rPr>
      </w:pPr>
      <w:r>
        <w:rPr>
          <w:rFonts w:hint="eastAsia" w:ascii="Times New Roman" w:hAnsi="Times New Roman" w:eastAsia="仿宋_GB2312" w:cs="Times New Roman"/>
          <w:b/>
          <w:bCs/>
          <w:sz w:val="30"/>
          <w:szCs w:val="30"/>
        </w:rPr>
        <w:t>绿色机关的创建工作。</w:t>
      </w:r>
      <w:r>
        <w:rPr>
          <w:rFonts w:hint="eastAsia" w:ascii="Times New Roman" w:hAnsi="Times New Roman" w:eastAsia="仿宋_GB2312" w:cs="Times New Roman"/>
          <w:sz w:val="30"/>
          <w:szCs w:val="30"/>
          <w:lang w:val="zh-CN"/>
        </w:rPr>
        <w:t>重视生态环境保护宣传教育工作；制定规范守则，将绿色机关建设工作落到实际行动中；推行现代化办公方式，建设节约型机关；建立绿色机关建设保障制度；定期开展节能监督检查。</w:t>
      </w:r>
    </w:p>
    <w:p w14:paraId="3144D12B">
      <w:pPr>
        <w:adjustRightInd w:val="0"/>
        <w:snapToGrid w:val="0"/>
        <w:spacing w:line="500" w:lineRule="exact"/>
        <w:ind w:firstLine="602" w:firstLineChars="200"/>
        <w:rPr>
          <w:rFonts w:ascii="Times New Roman" w:hAnsi="Times New Roman" w:eastAsia="仿宋_GB2312" w:cs="Times New Roman"/>
          <w:sz w:val="30"/>
          <w:szCs w:val="30"/>
          <w:lang w:val="zh-CN"/>
        </w:rPr>
      </w:pPr>
      <w:r>
        <w:rPr>
          <w:rFonts w:hint="eastAsia" w:ascii="Times New Roman" w:hAnsi="Times New Roman" w:eastAsia="仿宋_GB2312" w:cs="Times New Roman"/>
          <w:b/>
          <w:bCs/>
          <w:sz w:val="30"/>
          <w:szCs w:val="30"/>
        </w:rPr>
        <w:t>绿色企业建设工作。</w:t>
      </w:r>
      <w:r>
        <w:rPr>
          <w:rFonts w:hint="eastAsia" w:ascii="Times New Roman" w:hAnsi="Times New Roman" w:eastAsia="仿宋_GB2312" w:cs="Times New Roman"/>
          <w:sz w:val="30"/>
          <w:szCs w:val="30"/>
          <w:lang w:val="zh-CN"/>
        </w:rPr>
        <w:t>加强企业内部生态文明教育，塑造绿色企业文化；推行绿色生产，建设绿色工厂；实施绿色营销战略。</w:t>
      </w:r>
    </w:p>
    <w:p w14:paraId="381919AA">
      <w:pPr>
        <w:adjustRightInd w:val="0"/>
        <w:snapToGrid w:val="0"/>
        <w:spacing w:line="500" w:lineRule="exact"/>
        <w:ind w:firstLine="602" w:firstLineChars="200"/>
        <w:rPr>
          <w:rFonts w:ascii="Times New Roman" w:hAnsi="Times New Roman" w:eastAsia="仿宋_GB2312" w:cs="Times New Roman"/>
          <w:sz w:val="30"/>
          <w:szCs w:val="30"/>
          <w:lang w:val="zh-CN"/>
        </w:rPr>
      </w:pPr>
      <w:r>
        <w:rPr>
          <w:rFonts w:hint="eastAsia" w:ascii="Times New Roman" w:hAnsi="Times New Roman" w:eastAsia="仿宋_GB2312" w:cs="Times New Roman"/>
          <w:b/>
          <w:bCs/>
          <w:sz w:val="30"/>
          <w:szCs w:val="30"/>
        </w:rPr>
        <w:t>绿色村庄建设工作。</w:t>
      </w:r>
      <w:r>
        <w:rPr>
          <w:rFonts w:hint="eastAsia" w:ascii="Times New Roman" w:hAnsi="Times New Roman" w:eastAsia="仿宋_GB2312" w:cs="Times New Roman"/>
          <w:sz w:val="30"/>
          <w:szCs w:val="30"/>
          <w:lang w:val="zh-CN"/>
        </w:rPr>
        <w:t>利用村庄宣传墙、形象墙加强科普知识宣传，浓厚创建氛围，发放《创建绿色村庄倡议书》，组织村民“大签名”活动，使绿色村庄意识走进千家万户。利用乡村阅读室，购置环保科普类书籍，开设村庄环保论坛，开展“垃圾分类”、“节水节电”、植树种花等实践活动。按照国家绿色村庄的评判标准，每年至少一次举办绿色村庄评选工作，对符合标准的绿色</w:t>
      </w:r>
      <w:r>
        <w:rPr>
          <w:rFonts w:hint="eastAsia" w:ascii="Times New Roman" w:hAnsi="Times New Roman" w:eastAsia="仿宋_GB2312" w:cs="Times New Roman"/>
          <w:sz w:val="30"/>
          <w:szCs w:val="30"/>
        </w:rPr>
        <w:t>村庄</w:t>
      </w:r>
      <w:r>
        <w:rPr>
          <w:rFonts w:hint="eastAsia" w:ascii="Times New Roman" w:hAnsi="Times New Roman" w:eastAsia="仿宋_GB2312" w:cs="Times New Roman"/>
          <w:sz w:val="30"/>
          <w:szCs w:val="30"/>
          <w:lang w:val="zh-CN"/>
        </w:rPr>
        <w:t>进行表彰，对不达标的</w:t>
      </w:r>
      <w:r>
        <w:rPr>
          <w:rFonts w:hint="eastAsia" w:ascii="Times New Roman" w:hAnsi="Times New Roman" w:eastAsia="仿宋_GB2312" w:cs="Times New Roman"/>
          <w:sz w:val="30"/>
          <w:szCs w:val="30"/>
        </w:rPr>
        <w:t>村庄</w:t>
      </w:r>
      <w:r>
        <w:rPr>
          <w:rFonts w:hint="eastAsia" w:ascii="Times New Roman" w:hAnsi="Times New Roman" w:eastAsia="仿宋_GB2312" w:cs="Times New Roman"/>
          <w:sz w:val="30"/>
          <w:szCs w:val="30"/>
          <w:lang w:val="zh-CN"/>
        </w:rPr>
        <w:t>提出相应的整改意见。</w:t>
      </w:r>
      <w:bookmarkStart w:id="218" w:name="_Toc524445078"/>
      <w:bookmarkStart w:id="219" w:name="_Toc528335095"/>
      <w:bookmarkStart w:id="220" w:name="_Toc522719059"/>
      <w:bookmarkStart w:id="221" w:name="_Toc528335063"/>
      <w:bookmarkStart w:id="222" w:name="_Toc514667757"/>
      <w:bookmarkStart w:id="223" w:name="_Toc528335101"/>
    </w:p>
    <w:bookmarkEnd w:id="218"/>
    <w:bookmarkEnd w:id="219"/>
    <w:bookmarkEnd w:id="220"/>
    <w:p w14:paraId="692CE492">
      <w:pPr>
        <w:adjustRightInd w:val="0"/>
        <w:snapToGrid w:val="0"/>
        <w:spacing w:line="500" w:lineRule="exact"/>
        <w:ind w:firstLine="602" w:firstLineChars="200"/>
        <w:rPr>
          <w:rFonts w:ascii="Times New Roman" w:hAnsi="Times New Roman" w:eastAsia="仿宋_GB2312" w:cs="Times New Roman"/>
          <w:sz w:val="30"/>
          <w:szCs w:val="30"/>
          <w:lang w:val="zh-CN"/>
        </w:rPr>
        <w:sectPr>
          <w:pgSz w:w="11906" w:h="16838"/>
          <w:pgMar w:top="1440" w:right="1800" w:bottom="1440" w:left="1800" w:header="851" w:footer="992" w:gutter="0"/>
          <w:cols w:space="720" w:num="1"/>
          <w:docGrid w:type="lines" w:linePitch="312" w:charSpace="0"/>
        </w:sectPr>
      </w:pPr>
      <w:r>
        <w:rPr>
          <w:rFonts w:hint="eastAsia" w:ascii="Times New Roman" w:hAnsi="Times New Roman" w:eastAsia="仿宋_GB2312" w:cs="Times New Roman"/>
          <w:b/>
          <w:bCs/>
          <w:sz w:val="30"/>
          <w:szCs w:val="30"/>
        </w:rPr>
        <w:t>绿色学校建设工作。</w:t>
      </w:r>
      <w:r>
        <w:rPr>
          <w:rFonts w:hint="eastAsia" w:ascii="Times New Roman" w:hAnsi="Times New Roman" w:eastAsia="仿宋_GB2312" w:cs="Times New Roman"/>
          <w:sz w:val="30"/>
          <w:szCs w:val="30"/>
          <w:lang w:val="zh-CN"/>
        </w:rPr>
        <w:t>从“课内、课外、校外”三个层面上，构建适应当前需求的环境教育体系，开展生态环境知识教育，各门学科与环境教育有机结合起来。将可持续发展的思想渗透到学校日常管理实践的各个方面，促进学校环境管理体系和相关档案资料的建立，提高环境教育教学和管理水平；加强学校内部管理，通过节纸、节水、节电等节约和节能措施提高资源利用率，减少浪费，节省学校财政开支，培养师生的良好行为习惯，杜绝危害环境的行为，鼓励回收再生资源，营造优美的校园环境。</w:t>
      </w:r>
    </w:p>
    <w:p w14:paraId="634EFE75">
      <w:pPr>
        <w:pageBreakBefore/>
        <w:spacing w:line="580" w:lineRule="exact"/>
        <w:jc w:val="center"/>
        <w:outlineLvl w:val="0"/>
        <w:rPr>
          <w:rFonts w:ascii="方正小标宋简体" w:hAnsi="Times New Roman" w:eastAsia="方正小标宋简体" w:cs="Times New Roman"/>
          <w:sz w:val="36"/>
          <w:szCs w:val="36"/>
        </w:rPr>
      </w:pPr>
      <w:bookmarkStart w:id="224" w:name="_Toc12990"/>
      <w:bookmarkStart w:id="225" w:name="_Toc30076"/>
      <w:r>
        <w:rPr>
          <w:rFonts w:ascii="方正小标宋简体" w:hAnsi="Times New Roman" w:eastAsia="方正小标宋简体" w:cs="Times New Roman"/>
          <w:sz w:val="36"/>
          <w:szCs w:val="36"/>
        </w:rPr>
        <w:t xml:space="preserve">第八章 </w:t>
      </w:r>
      <w:bookmarkEnd w:id="221"/>
      <w:r>
        <w:rPr>
          <w:rFonts w:ascii="方正小标宋简体" w:hAnsi="Times New Roman" w:eastAsia="方正小标宋简体" w:cs="Times New Roman"/>
          <w:sz w:val="36"/>
          <w:szCs w:val="36"/>
        </w:rPr>
        <w:t>深化机制体制改革，落实生态文明制度</w:t>
      </w:r>
      <w:bookmarkEnd w:id="224"/>
      <w:bookmarkEnd w:id="225"/>
    </w:p>
    <w:p w14:paraId="6884C291">
      <w:pPr>
        <w:adjustRightInd w:val="0"/>
        <w:snapToGrid w:val="0"/>
        <w:spacing w:line="580" w:lineRule="exact"/>
        <w:ind w:firstLine="640" w:firstLineChars="200"/>
        <w:rPr>
          <w:rFonts w:ascii="Times New Roman" w:hAnsi="Times New Roman" w:eastAsia="仿宋_GB2312" w:cs="Times New Roman"/>
          <w:sz w:val="32"/>
          <w:szCs w:val="32"/>
        </w:rPr>
      </w:pPr>
      <w:bookmarkStart w:id="226" w:name="_Toc528335064"/>
    </w:p>
    <w:p w14:paraId="48291C60">
      <w:pPr>
        <w:adjustRightInd w:val="0"/>
        <w:snapToGrid w:val="0"/>
        <w:spacing w:line="500" w:lineRule="exact"/>
        <w:ind w:firstLine="600" w:firstLineChars="200"/>
        <w:rPr>
          <w:rFonts w:ascii="Times New Roman" w:hAnsi="Times New Roman" w:eastAsia="仿宋_GB2312" w:cs="Times New Roman"/>
          <w:sz w:val="30"/>
          <w:szCs w:val="30"/>
          <w:lang w:val="zh-CN"/>
        </w:rPr>
      </w:pPr>
      <w:r>
        <w:rPr>
          <w:rFonts w:hint="eastAsia" w:ascii="Times New Roman" w:hAnsi="Times New Roman" w:eastAsia="仿宋_GB2312" w:cs="Times New Roman"/>
          <w:sz w:val="30"/>
          <w:szCs w:val="30"/>
          <w:lang w:val="zh-CN"/>
        </w:rPr>
        <w:t>以习近平新时代中国特色社会主义思想为指导，全面贯彻党的十九大和十九届历次全会精神，牢固树立绿色发展理念，以贯彻落实《关于构建现代环境治理体系的指导意见》为目标，充分发挥政府的主导作用以及企业的主体作用，从源头、过程、后果三个维度，构建“源头严防、过程严管、后果严惩”的生态文明制度体系，落实自然资源确权登记、生态环境体制改革任务，推进生态文明示范县各项工作的落实。</w:t>
      </w:r>
    </w:p>
    <w:p w14:paraId="6C3277B3">
      <w:pPr>
        <w:spacing w:line="580" w:lineRule="exact"/>
        <w:jc w:val="center"/>
        <w:outlineLvl w:val="1"/>
        <w:rPr>
          <w:rFonts w:ascii="Times New Roman" w:hAnsi="Times New Roman" w:eastAsia="黑体" w:cs="Times New Roman"/>
          <w:bCs/>
          <w:sz w:val="32"/>
          <w:szCs w:val="32"/>
        </w:rPr>
      </w:pPr>
      <w:bookmarkStart w:id="227" w:name="_Toc4025"/>
      <w:bookmarkStart w:id="228" w:name="_Toc6752"/>
      <w:r>
        <w:rPr>
          <w:rFonts w:ascii="Times New Roman" w:hAnsi="Times New Roman" w:eastAsia="黑体" w:cs="Times New Roman"/>
          <w:bCs/>
          <w:sz w:val="32"/>
          <w:szCs w:val="32"/>
        </w:rPr>
        <w:t>第一节</w:t>
      </w:r>
      <w:r>
        <w:rPr>
          <w:rFonts w:hint="eastAsia" w:ascii="Times New Roman" w:hAnsi="Times New Roman" w:eastAsia="黑体" w:cs="Times New Roman"/>
          <w:bCs/>
          <w:sz w:val="32"/>
          <w:szCs w:val="32"/>
        </w:rPr>
        <w:t xml:space="preserve"> </w:t>
      </w:r>
      <w:r>
        <w:rPr>
          <w:rFonts w:ascii="Times New Roman" w:hAnsi="Times New Roman" w:eastAsia="黑体" w:cs="Times New Roman"/>
          <w:bCs/>
          <w:sz w:val="32"/>
          <w:szCs w:val="32"/>
        </w:rPr>
        <w:t xml:space="preserve"> 源头保护制度</w:t>
      </w:r>
      <w:bookmarkEnd w:id="226"/>
      <w:bookmarkEnd w:id="227"/>
      <w:bookmarkEnd w:id="228"/>
    </w:p>
    <w:p w14:paraId="6726EC49">
      <w:pPr>
        <w:spacing w:line="580" w:lineRule="exact"/>
        <w:ind w:firstLine="600" w:firstLineChars="200"/>
        <w:outlineLvl w:val="2"/>
        <w:rPr>
          <w:rFonts w:ascii="Times New Roman" w:hAnsi="Times New Roman" w:eastAsia="楷体_GB2312" w:cs="Times New Roman"/>
          <w:b/>
          <w:bCs/>
          <w:sz w:val="30"/>
          <w:szCs w:val="30"/>
        </w:rPr>
      </w:pPr>
      <w:bookmarkStart w:id="229" w:name="_Toc522719018"/>
      <w:bookmarkStart w:id="230" w:name="_Toc528335066"/>
      <w:bookmarkStart w:id="231" w:name="_Toc524445039"/>
      <w:r>
        <w:rPr>
          <w:rFonts w:ascii="Times New Roman" w:hAnsi="Times New Roman" w:eastAsia="楷体_GB2312" w:cs="Times New Roman"/>
          <w:b/>
          <w:bCs/>
          <w:sz w:val="30"/>
          <w:szCs w:val="30"/>
        </w:rPr>
        <w:t>（一）成立</w:t>
      </w:r>
      <w:r>
        <w:rPr>
          <w:rFonts w:hint="eastAsia" w:ascii="Times New Roman" w:hAnsi="Times New Roman" w:eastAsia="楷体_GB2312" w:cs="Times New Roman"/>
          <w:b/>
          <w:bCs/>
          <w:sz w:val="30"/>
          <w:szCs w:val="30"/>
        </w:rPr>
        <w:t>洛隆</w:t>
      </w:r>
      <w:r>
        <w:rPr>
          <w:rFonts w:ascii="Times New Roman" w:hAnsi="Times New Roman" w:eastAsia="楷体_GB2312" w:cs="Times New Roman"/>
          <w:b/>
          <w:bCs/>
          <w:sz w:val="30"/>
          <w:szCs w:val="30"/>
        </w:rPr>
        <w:t>县生态文明建设决策机构</w:t>
      </w:r>
    </w:p>
    <w:p w14:paraId="5B4399D7">
      <w:pPr>
        <w:adjustRightInd w:val="0"/>
        <w:snapToGrid w:val="0"/>
        <w:spacing w:line="500" w:lineRule="exact"/>
        <w:ind w:firstLine="600" w:firstLineChars="200"/>
        <w:rPr>
          <w:rFonts w:ascii="Times New Roman" w:hAnsi="Times New Roman" w:eastAsia="仿宋_GB2312" w:cs="Times New Roman"/>
          <w:sz w:val="30"/>
          <w:szCs w:val="30"/>
          <w:lang w:val="zh-CN"/>
        </w:rPr>
      </w:pPr>
      <w:r>
        <w:rPr>
          <w:rFonts w:hint="eastAsia" w:ascii="Times New Roman" w:hAnsi="Times New Roman" w:eastAsia="仿宋_GB2312" w:cs="Times New Roman"/>
          <w:sz w:val="30"/>
          <w:szCs w:val="30"/>
          <w:lang w:val="zh-CN"/>
        </w:rPr>
        <w:t>成立洛隆县生态文明与环境保护领导小组，组长由洛隆县领导担任，成员包括各相关部门领导及技术人才，全面负责洛隆县生态环境的统筹规划、环境治理、生态保护等生态文明建设与管理工作。领导小组下设6个建设小组，分别负责生态空间、生态经济、生态环境、生态人居、生态文化和生态制度的筹划和建设。领导小组充分发挥人民群众的力量，形成分级管理，部门相互配合以及上下联动的生态文明建设格局。</w:t>
      </w:r>
    </w:p>
    <w:p w14:paraId="4B71A778">
      <w:pPr>
        <w:spacing w:line="580" w:lineRule="exact"/>
        <w:ind w:firstLine="600" w:firstLineChars="200"/>
        <w:outlineLvl w:val="2"/>
        <w:rPr>
          <w:rFonts w:ascii="Times New Roman" w:hAnsi="Times New Roman" w:eastAsia="楷体_GB2312" w:cs="Times New Roman"/>
          <w:b/>
          <w:bCs/>
          <w:sz w:val="30"/>
          <w:szCs w:val="30"/>
        </w:rPr>
      </w:pPr>
      <w:r>
        <w:rPr>
          <w:rFonts w:ascii="Times New Roman" w:hAnsi="Times New Roman" w:eastAsia="楷体_GB2312" w:cs="Times New Roman"/>
          <w:b/>
          <w:bCs/>
          <w:sz w:val="30"/>
          <w:szCs w:val="30"/>
        </w:rPr>
        <w:t>（</w:t>
      </w:r>
      <w:r>
        <w:rPr>
          <w:rFonts w:hint="eastAsia" w:ascii="Times New Roman" w:hAnsi="Times New Roman" w:eastAsia="楷体_GB2312" w:cs="Times New Roman"/>
          <w:b/>
          <w:bCs/>
          <w:sz w:val="30"/>
          <w:szCs w:val="30"/>
        </w:rPr>
        <w:t>二</w:t>
      </w:r>
      <w:r>
        <w:rPr>
          <w:rFonts w:ascii="Times New Roman" w:hAnsi="Times New Roman" w:eastAsia="楷体_GB2312" w:cs="Times New Roman"/>
          <w:b/>
          <w:bCs/>
          <w:sz w:val="30"/>
          <w:szCs w:val="30"/>
        </w:rPr>
        <w:t>）成立生态文明专家委员会</w:t>
      </w:r>
    </w:p>
    <w:p w14:paraId="623282AE">
      <w:pPr>
        <w:adjustRightInd w:val="0"/>
        <w:snapToGrid w:val="0"/>
        <w:spacing w:line="500" w:lineRule="exact"/>
        <w:ind w:firstLine="600" w:firstLineChars="200"/>
        <w:rPr>
          <w:rFonts w:ascii="Times New Roman" w:hAnsi="Times New Roman" w:eastAsia="仿宋_GB2312" w:cs="Times New Roman"/>
          <w:sz w:val="30"/>
          <w:szCs w:val="30"/>
          <w:lang w:val="zh-CN"/>
        </w:rPr>
      </w:pPr>
      <w:r>
        <w:rPr>
          <w:rFonts w:hint="eastAsia" w:ascii="Times New Roman" w:hAnsi="Times New Roman" w:eastAsia="仿宋_GB2312" w:cs="Times New Roman"/>
          <w:sz w:val="30"/>
          <w:szCs w:val="30"/>
          <w:lang w:val="zh-CN"/>
        </w:rPr>
        <w:t>成立洛隆县生态文明专家委员会，委员会由生态环境领域和生态文明领域杰出的专家学者组成。针对洛隆县生态文明建设中遇到的难点、热点问题，开展调查研究，提出解决方案，并向生态文明与环境保护委员会提交。根据生态文明建设的工作和决策需求，开展生态文明重大决策、重大方针政策、重要改革方案、重要规章及重要文件等的咨询与评估。组织重大项目建议书、可行性研究报告、环评报告的评估论证，对群众的关注的热点问题给予解答，为洛隆县的生态文明建设提供技术支持。</w:t>
      </w:r>
    </w:p>
    <w:p w14:paraId="46CC301E">
      <w:pPr>
        <w:spacing w:line="580" w:lineRule="exact"/>
        <w:ind w:firstLine="600" w:firstLineChars="200"/>
        <w:outlineLvl w:val="2"/>
        <w:rPr>
          <w:rFonts w:ascii="Times New Roman" w:hAnsi="Times New Roman" w:eastAsia="楷体_GB2312" w:cs="Times New Roman"/>
          <w:b/>
          <w:bCs/>
          <w:sz w:val="30"/>
          <w:szCs w:val="30"/>
        </w:rPr>
      </w:pPr>
      <w:r>
        <w:rPr>
          <w:rFonts w:ascii="Times New Roman" w:hAnsi="Times New Roman" w:eastAsia="楷体_GB2312" w:cs="Times New Roman"/>
          <w:b/>
          <w:bCs/>
          <w:sz w:val="30"/>
          <w:szCs w:val="30"/>
        </w:rPr>
        <w:t>（</w:t>
      </w:r>
      <w:r>
        <w:rPr>
          <w:rFonts w:hint="eastAsia" w:ascii="Times New Roman" w:hAnsi="Times New Roman" w:eastAsia="楷体_GB2312" w:cs="Times New Roman"/>
          <w:b/>
          <w:bCs/>
          <w:sz w:val="30"/>
          <w:szCs w:val="30"/>
        </w:rPr>
        <w:t>三</w:t>
      </w:r>
      <w:r>
        <w:rPr>
          <w:rFonts w:ascii="Times New Roman" w:hAnsi="Times New Roman" w:eastAsia="楷体_GB2312" w:cs="Times New Roman"/>
          <w:b/>
          <w:bCs/>
          <w:sz w:val="30"/>
          <w:szCs w:val="30"/>
        </w:rPr>
        <w:t>）成立生态文明公众评议委员会</w:t>
      </w:r>
    </w:p>
    <w:p w14:paraId="225EBFC0">
      <w:pPr>
        <w:adjustRightInd w:val="0"/>
        <w:snapToGrid w:val="0"/>
        <w:spacing w:line="500" w:lineRule="exact"/>
        <w:ind w:firstLine="600" w:firstLineChars="200"/>
        <w:rPr>
          <w:rFonts w:ascii="Times New Roman" w:hAnsi="Times New Roman" w:eastAsia="仿宋_GB2312" w:cs="Times New Roman"/>
          <w:sz w:val="30"/>
          <w:szCs w:val="30"/>
          <w:lang w:val="zh-CN"/>
        </w:rPr>
      </w:pPr>
      <w:r>
        <w:rPr>
          <w:rFonts w:hint="eastAsia" w:ascii="Times New Roman" w:hAnsi="Times New Roman" w:eastAsia="仿宋_GB2312" w:cs="Times New Roman"/>
          <w:sz w:val="30"/>
          <w:szCs w:val="30"/>
          <w:lang w:val="zh-CN"/>
        </w:rPr>
        <w:t>成立洛隆县生态文明公众评议委员会，从社会各界聘请一批经验足、威望高、敢直言、群众观点强的群众代表，组建“公众评议委员会”，对生态文明重大决策、重大改革方案、重大项目开展公众评议，对生态环境违法行为进行监督，定期开展民生微实事、环保投诉调查，听取群众改革建议。</w:t>
      </w:r>
    </w:p>
    <w:p w14:paraId="27EEDBDA">
      <w:pPr>
        <w:spacing w:line="580" w:lineRule="exact"/>
        <w:ind w:firstLine="600" w:firstLineChars="200"/>
        <w:outlineLvl w:val="2"/>
        <w:rPr>
          <w:rFonts w:ascii="Times New Roman" w:hAnsi="Times New Roman" w:eastAsia="楷体_GB2312" w:cs="Times New Roman"/>
          <w:b/>
          <w:bCs/>
          <w:sz w:val="30"/>
          <w:szCs w:val="30"/>
        </w:rPr>
      </w:pPr>
      <w:r>
        <w:rPr>
          <w:rFonts w:ascii="Times New Roman" w:hAnsi="Times New Roman" w:eastAsia="楷体_GB2312" w:cs="Times New Roman"/>
          <w:b/>
          <w:bCs/>
          <w:sz w:val="30"/>
          <w:szCs w:val="30"/>
        </w:rPr>
        <w:t>（四）推进“三线一单”管理制度</w:t>
      </w:r>
    </w:p>
    <w:p w14:paraId="11750F64">
      <w:pPr>
        <w:adjustRightInd w:val="0"/>
        <w:snapToGrid w:val="0"/>
        <w:spacing w:line="500" w:lineRule="exact"/>
        <w:ind w:firstLine="600" w:firstLineChars="200"/>
        <w:rPr>
          <w:rFonts w:ascii="Times New Roman" w:hAnsi="Times New Roman" w:eastAsia="仿宋_GB2312" w:cs="Times New Roman"/>
          <w:sz w:val="30"/>
          <w:szCs w:val="30"/>
          <w:lang w:val="zh-CN"/>
        </w:rPr>
      </w:pPr>
      <w:bookmarkStart w:id="232" w:name="_Hlk58450658"/>
      <w:r>
        <w:rPr>
          <w:rFonts w:hint="eastAsia" w:ascii="Times New Roman" w:hAnsi="Times New Roman" w:eastAsia="仿宋_GB2312" w:cs="Times New Roman"/>
          <w:sz w:val="30"/>
          <w:szCs w:val="30"/>
          <w:lang w:val="zh-CN"/>
        </w:rPr>
        <w:t>严格落实“生态保护红线、环境质量底线、资源利用上线、环境准入负面清单”划定成果，明确洛隆县生态保护现状、形势和分区管控要求。积极对接西藏自治区、昌都市两级生态环境主管部门，加强信息数据平台应用。</w:t>
      </w:r>
      <w:bookmarkEnd w:id="232"/>
    </w:p>
    <w:p w14:paraId="52DC36F5">
      <w:pPr>
        <w:spacing w:line="580" w:lineRule="exact"/>
        <w:ind w:firstLine="600" w:firstLineChars="200"/>
        <w:outlineLvl w:val="2"/>
        <w:rPr>
          <w:rFonts w:ascii="Times New Roman" w:hAnsi="Times New Roman" w:eastAsia="楷体_GB2312" w:cs="Times New Roman"/>
          <w:b/>
          <w:bCs/>
          <w:sz w:val="30"/>
          <w:szCs w:val="30"/>
        </w:rPr>
      </w:pPr>
      <w:r>
        <w:rPr>
          <w:rFonts w:ascii="Times New Roman" w:hAnsi="Times New Roman" w:eastAsia="楷体_GB2312" w:cs="Times New Roman"/>
          <w:b/>
          <w:bCs/>
          <w:sz w:val="30"/>
          <w:szCs w:val="30"/>
        </w:rPr>
        <w:t>（</w:t>
      </w:r>
      <w:r>
        <w:rPr>
          <w:rFonts w:hint="eastAsia" w:ascii="Times New Roman" w:hAnsi="Times New Roman" w:eastAsia="楷体_GB2312" w:cs="Times New Roman"/>
          <w:b/>
          <w:bCs/>
          <w:sz w:val="30"/>
          <w:szCs w:val="30"/>
        </w:rPr>
        <w:t>五</w:t>
      </w:r>
      <w:r>
        <w:rPr>
          <w:rFonts w:ascii="Times New Roman" w:hAnsi="Times New Roman" w:eastAsia="楷体_GB2312" w:cs="Times New Roman"/>
          <w:b/>
          <w:bCs/>
          <w:sz w:val="30"/>
          <w:szCs w:val="30"/>
        </w:rPr>
        <w:t>）</w:t>
      </w:r>
      <w:r>
        <w:rPr>
          <w:rFonts w:hint="eastAsia" w:ascii="Times New Roman" w:hAnsi="Times New Roman" w:eastAsia="楷体_GB2312" w:cs="Times New Roman"/>
          <w:b/>
          <w:bCs/>
          <w:sz w:val="30"/>
          <w:szCs w:val="30"/>
        </w:rPr>
        <w:t>严格落实</w:t>
      </w:r>
      <w:r>
        <w:rPr>
          <w:rFonts w:ascii="Times New Roman" w:hAnsi="Times New Roman" w:eastAsia="楷体_GB2312" w:cs="Times New Roman"/>
          <w:b/>
          <w:bCs/>
          <w:sz w:val="30"/>
          <w:szCs w:val="30"/>
        </w:rPr>
        <w:t xml:space="preserve">环境影响评价制度 </w:t>
      </w:r>
    </w:p>
    <w:p w14:paraId="653547B8">
      <w:pPr>
        <w:adjustRightInd w:val="0"/>
        <w:snapToGrid w:val="0"/>
        <w:spacing w:line="500" w:lineRule="exact"/>
        <w:ind w:firstLine="600" w:firstLineChars="200"/>
        <w:rPr>
          <w:rFonts w:ascii="Times New Roman" w:hAnsi="Times New Roman" w:eastAsia="仿宋_GB2312" w:cs="Times New Roman"/>
          <w:sz w:val="30"/>
          <w:szCs w:val="30"/>
          <w:lang w:val="zh-CN"/>
        </w:rPr>
      </w:pPr>
      <w:bookmarkStart w:id="233" w:name="_Toc23137"/>
      <w:r>
        <w:rPr>
          <w:rFonts w:hint="eastAsia" w:ascii="Times New Roman" w:hAnsi="Times New Roman" w:eastAsia="仿宋_GB2312" w:cs="Times New Roman"/>
          <w:sz w:val="30"/>
          <w:szCs w:val="30"/>
          <w:lang w:val="zh-CN"/>
        </w:rPr>
        <w:t>推动规划环评机制，充分发挥环境影响评价从源头预防环境污染和生态破坏的作用，以规划环评强化生态空间保护，优布局、控规模、调结构、促转型，构建规划环评和项目环评全链条无缝对接预防体系；针对洛隆县所涉专项性规划、综合性规划、指导性规划，提出环境影响评价工作建议和意见，确保各类项目引入和建设合理可行。</w:t>
      </w:r>
    </w:p>
    <w:p w14:paraId="480D3B34">
      <w:pPr>
        <w:spacing w:line="580" w:lineRule="exact"/>
        <w:ind w:firstLine="600" w:firstLineChars="200"/>
        <w:outlineLvl w:val="2"/>
        <w:rPr>
          <w:rFonts w:ascii="Times New Roman" w:hAnsi="Times New Roman" w:eastAsia="楷体_GB2312" w:cs="Times New Roman"/>
          <w:b/>
          <w:bCs/>
          <w:sz w:val="30"/>
          <w:szCs w:val="30"/>
        </w:rPr>
      </w:pPr>
      <w:r>
        <w:rPr>
          <w:rFonts w:ascii="Times New Roman" w:hAnsi="Times New Roman" w:eastAsia="楷体_GB2312" w:cs="Times New Roman"/>
          <w:b/>
          <w:bCs/>
          <w:sz w:val="30"/>
          <w:szCs w:val="30"/>
        </w:rPr>
        <w:t>（</w:t>
      </w:r>
      <w:r>
        <w:rPr>
          <w:rFonts w:hint="eastAsia" w:ascii="Times New Roman" w:hAnsi="Times New Roman" w:eastAsia="楷体_GB2312" w:cs="Times New Roman"/>
          <w:b/>
          <w:bCs/>
          <w:sz w:val="30"/>
          <w:szCs w:val="30"/>
        </w:rPr>
        <w:t>六</w:t>
      </w:r>
      <w:r>
        <w:rPr>
          <w:rFonts w:ascii="Times New Roman" w:hAnsi="Times New Roman" w:eastAsia="楷体_GB2312" w:cs="Times New Roman"/>
          <w:b/>
          <w:bCs/>
          <w:sz w:val="30"/>
          <w:szCs w:val="30"/>
        </w:rPr>
        <w:t>）加快</w:t>
      </w:r>
      <w:r>
        <w:rPr>
          <w:rFonts w:hint="eastAsia" w:ascii="Times New Roman" w:hAnsi="Times New Roman" w:eastAsia="楷体_GB2312" w:cs="Times New Roman"/>
          <w:b/>
          <w:bCs/>
          <w:sz w:val="30"/>
          <w:szCs w:val="30"/>
        </w:rPr>
        <w:t>落实</w:t>
      </w:r>
      <w:r>
        <w:rPr>
          <w:rFonts w:ascii="Times New Roman" w:hAnsi="Times New Roman" w:eastAsia="楷体_GB2312" w:cs="Times New Roman"/>
          <w:b/>
          <w:bCs/>
          <w:sz w:val="30"/>
          <w:szCs w:val="30"/>
        </w:rPr>
        <w:t>自然资产产权管理和用途管制制度</w:t>
      </w:r>
      <w:bookmarkEnd w:id="233"/>
    </w:p>
    <w:p w14:paraId="3EA5202B">
      <w:pPr>
        <w:adjustRightInd w:val="0"/>
        <w:snapToGrid w:val="0"/>
        <w:spacing w:line="500" w:lineRule="exact"/>
        <w:ind w:firstLine="600" w:firstLineChars="200"/>
        <w:rPr>
          <w:rFonts w:ascii="Times New Roman" w:hAnsi="Times New Roman" w:eastAsia="仿宋_GB2312" w:cs="Times New Roman"/>
          <w:sz w:val="30"/>
          <w:szCs w:val="30"/>
          <w:lang w:val="zh-CN"/>
        </w:rPr>
      </w:pPr>
      <w:r>
        <w:rPr>
          <w:rFonts w:hint="eastAsia" w:ascii="Times New Roman" w:hAnsi="Times New Roman" w:eastAsia="仿宋_GB2312" w:cs="Times New Roman"/>
          <w:sz w:val="30"/>
          <w:szCs w:val="30"/>
          <w:lang w:val="zh-CN"/>
        </w:rPr>
        <w:t>落实健全自然资源产权制度。对洛隆县管辖区域内的河流、森林、山岭、荒地、湿地、冰川等自然生态空间统一进行确权登记，建立统一的登记机构、登记簿册、登记依据和信息平台，形成归属清晰、权责明确、监管有效的自然资源资产产权制度，明确国土空间自然资源资产所有者、监管者及其责任。编制自然资源资产负债表，建立自然资源资产衡量与核算指标体系，准确把握自然资源的存量、增量和减量。加快形成国有自然资源资产所有权人和自然资源管理者相互独立、相互配合、相互监督的体制机制，建立空间规划体系，明确各类生态空间开发、利用、保护边界，实现能源、水资源、矿产资源按质量分级、梯级利用，严格节能评估审查、水资源论证和取水许可制度。坚持并完善最严格的耕地保护和节约用地制度，强化土地利用总体规划和年度计划管控，加强土地用途转用许可管理。完善矿产资源规划制度，强化矿产开发准入管理，加快落实洛隆县自然资产产权管理和用途管制制度。</w:t>
      </w:r>
    </w:p>
    <w:p w14:paraId="5FCFE923">
      <w:pPr>
        <w:spacing w:line="580" w:lineRule="exact"/>
        <w:ind w:firstLine="600" w:firstLineChars="200"/>
        <w:outlineLvl w:val="2"/>
        <w:rPr>
          <w:rFonts w:ascii="Times New Roman" w:hAnsi="Times New Roman" w:eastAsia="楷体_GB2312" w:cs="Times New Roman"/>
          <w:b/>
          <w:bCs/>
          <w:sz w:val="30"/>
          <w:szCs w:val="30"/>
        </w:rPr>
      </w:pPr>
      <w:bookmarkStart w:id="234" w:name="_Toc9972"/>
      <w:r>
        <w:rPr>
          <w:rFonts w:ascii="Times New Roman" w:hAnsi="Times New Roman" w:eastAsia="楷体_GB2312" w:cs="Times New Roman"/>
          <w:b/>
          <w:bCs/>
          <w:sz w:val="30"/>
          <w:szCs w:val="30"/>
        </w:rPr>
        <w:t>（</w:t>
      </w:r>
      <w:r>
        <w:rPr>
          <w:rFonts w:hint="eastAsia" w:ascii="Times New Roman" w:hAnsi="Times New Roman" w:eastAsia="楷体_GB2312" w:cs="Times New Roman"/>
          <w:b/>
          <w:bCs/>
          <w:sz w:val="30"/>
          <w:szCs w:val="30"/>
        </w:rPr>
        <w:t>七</w:t>
      </w:r>
      <w:r>
        <w:rPr>
          <w:rFonts w:ascii="Times New Roman" w:hAnsi="Times New Roman" w:eastAsia="楷体_GB2312" w:cs="Times New Roman"/>
          <w:b/>
          <w:bCs/>
          <w:sz w:val="30"/>
          <w:szCs w:val="30"/>
        </w:rPr>
        <w:t>）实施污染物排放总量控制制度</w:t>
      </w:r>
      <w:bookmarkEnd w:id="234"/>
    </w:p>
    <w:p w14:paraId="462FC38C">
      <w:pPr>
        <w:adjustRightInd w:val="0"/>
        <w:snapToGrid w:val="0"/>
        <w:spacing w:line="500" w:lineRule="exact"/>
        <w:ind w:firstLine="600" w:firstLineChars="200"/>
        <w:rPr>
          <w:rFonts w:ascii="Times New Roman" w:hAnsi="Times New Roman" w:eastAsia="仿宋_GB2312" w:cs="Times New Roman"/>
          <w:sz w:val="30"/>
          <w:szCs w:val="30"/>
          <w:lang w:val="zh-CN"/>
        </w:rPr>
      </w:pPr>
      <w:r>
        <w:rPr>
          <w:rFonts w:hint="eastAsia" w:ascii="Times New Roman" w:hAnsi="Times New Roman" w:eastAsia="仿宋_GB2312" w:cs="Times New Roman"/>
          <w:sz w:val="30"/>
          <w:szCs w:val="30"/>
          <w:lang w:val="zh-CN"/>
        </w:rPr>
        <w:t>实行污染物总量控制制度，完善总量控制指标体系，建立污染物排放总量目标责任制和奖励机制，制定污染物排放总量控制计划，层层分解控制指标，将责任落实到全县各乡镇和重点排污单位，完成自治区、昌都市的污染物总量减排任务。严格执行排污许可证制度，实现固定污染源“一证式”管理。强化监督和执法检查，排污者必须持证排污，对无证排污和不按证排污的要依法查处，禁止无证排污或不按许可证规定排污。规划期间，基本形成以排污许可制度为核心，有效衔接环境影响评价、污染物排放标准、总量控制、排污权交易等环境管理制度的“一证式”固定源排污管理体系。</w:t>
      </w:r>
    </w:p>
    <w:p w14:paraId="316DB7EA">
      <w:pPr>
        <w:spacing w:line="580" w:lineRule="exact"/>
        <w:ind w:firstLine="600" w:firstLineChars="200"/>
        <w:outlineLvl w:val="2"/>
        <w:rPr>
          <w:rFonts w:ascii="Times New Roman" w:hAnsi="Times New Roman" w:eastAsia="楷体_GB2312" w:cs="Times New Roman"/>
          <w:b/>
          <w:bCs/>
          <w:sz w:val="30"/>
          <w:szCs w:val="30"/>
        </w:rPr>
      </w:pPr>
      <w:bookmarkStart w:id="235" w:name="_Toc13795"/>
      <w:r>
        <w:rPr>
          <w:rFonts w:ascii="Times New Roman" w:hAnsi="Times New Roman" w:eastAsia="楷体_GB2312" w:cs="Times New Roman"/>
          <w:b/>
          <w:bCs/>
          <w:sz w:val="30"/>
          <w:szCs w:val="30"/>
        </w:rPr>
        <w:t>（</w:t>
      </w:r>
      <w:r>
        <w:rPr>
          <w:rFonts w:hint="eastAsia" w:ascii="Times New Roman" w:hAnsi="Times New Roman" w:eastAsia="楷体_GB2312" w:cs="Times New Roman"/>
          <w:b/>
          <w:bCs/>
          <w:sz w:val="30"/>
          <w:szCs w:val="30"/>
        </w:rPr>
        <w:t>八</w:t>
      </w:r>
      <w:r>
        <w:rPr>
          <w:rFonts w:ascii="Times New Roman" w:hAnsi="Times New Roman" w:eastAsia="楷体_GB2312" w:cs="Times New Roman"/>
          <w:b/>
          <w:bCs/>
          <w:sz w:val="30"/>
          <w:szCs w:val="30"/>
        </w:rPr>
        <w:t>）实行资源总量管理和全面节约制度</w:t>
      </w:r>
      <w:bookmarkEnd w:id="235"/>
    </w:p>
    <w:p w14:paraId="59354E9E">
      <w:pPr>
        <w:adjustRightInd w:val="0"/>
        <w:snapToGrid w:val="0"/>
        <w:spacing w:line="500" w:lineRule="exact"/>
        <w:ind w:firstLine="600" w:firstLineChars="200"/>
        <w:rPr>
          <w:rFonts w:ascii="Times New Roman" w:hAnsi="Times New Roman" w:eastAsia="仿宋_GB2312" w:cs="Times New Roman"/>
          <w:sz w:val="30"/>
          <w:szCs w:val="30"/>
          <w:lang w:val="zh-CN"/>
        </w:rPr>
      </w:pPr>
      <w:r>
        <w:rPr>
          <w:rFonts w:hint="eastAsia" w:ascii="Times New Roman" w:hAnsi="Times New Roman" w:eastAsia="仿宋_GB2312" w:cs="Times New Roman"/>
          <w:sz w:val="30"/>
          <w:szCs w:val="30"/>
          <w:lang w:val="zh-CN"/>
        </w:rPr>
        <w:t>实行最严格水资源制度、节约用地制度和能源消耗制度，确保资源节约集约高效利用，提高资源的循环利用。实行基本草原保护制度，稳定和完善草原承包经营制度，实施草原生态保护补奖机制，确保资金落实到位，实施禁牧休牧、划区轮牧和草畜平衡等制度，确保基本草原面积不减少、质量不下降、用途不改变。落实天然林保护制度，稳定承包权。落实湿地保护制度，建立生态修复机制。落实沙化土地封禁保护制度，加强沙化土地治理，增加植被。完善资源循环利用制度，鼓励废弃物资源利用、再生资源的循环利用。</w:t>
      </w:r>
    </w:p>
    <w:bookmarkEnd w:id="229"/>
    <w:bookmarkEnd w:id="230"/>
    <w:bookmarkEnd w:id="231"/>
    <w:p w14:paraId="6D15EF98">
      <w:pPr>
        <w:spacing w:line="580" w:lineRule="exact"/>
        <w:jc w:val="center"/>
        <w:outlineLvl w:val="1"/>
        <w:rPr>
          <w:rFonts w:ascii="Times New Roman" w:hAnsi="Times New Roman" w:eastAsia="黑体" w:cs="Times New Roman"/>
          <w:bCs/>
          <w:sz w:val="32"/>
          <w:szCs w:val="32"/>
        </w:rPr>
      </w:pPr>
      <w:bookmarkStart w:id="236" w:name="_Toc528335071"/>
      <w:bookmarkStart w:id="237" w:name="_Toc14321"/>
      <w:bookmarkStart w:id="238" w:name="_Toc32120"/>
      <w:r>
        <w:rPr>
          <w:rFonts w:ascii="Times New Roman" w:hAnsi="Times New Roman" w:eastAsia="黑体" w:cs="Times New Roman"/>
          <w:bCs/>
          <w:sz w:val="32"/>
          <w:szCs w:val="32"/>
        </w:rPr>
        <w:t xml:space="preserve">第二节 </w:t>
      </w:r>
      <w:r>
        <w:rPr>
          <w:rFonts w:hint="eastAsia" w:ascii="Times New Roman" w:hAnsi="Times New Roman" w:eastAsia="黑体" w:cs="Times New Roman"/>
          <w:bCs/>
          <w:sz w:val="32"/>
          <w:szCs w:val="32"/>
        </w:rPr>
        <w:t xml:space="preserve"> </w:t>
      </w:r>
      <w:r>
        <w:rPr>
          <w:rFonts w:ascii="Times New Roman" w:hAnsi="Times New Roman" w:eastAsia="黑体" w:cs="Times New Roman"/>
          <w:bCs/>
          <w:sz w:val="32"/>
          <w:szCs w:val="32"/>
        </w:rPr>
        <w:t>过程控制制度</w:t>
      </w:r>
      <w:bookmarkEnd w:id="236"/>
      <w:bookmarkEnd w:id="237"/>
      <w:bookmarkEnd w:id="238"/>
    </w:p>
    <w:p w14:paraId="7D957F25">
      <w:pPr>
        <w:spacing w:line="580" w:lineRule="exact"/>
        <w:ind w:firstLine="600" w:firstLineChars="200"/>
        <w:outlineLvl w:val="2"/>
        <w:rPr>
          <w:rFonts w:ascii="Times New Roman" w:hAnsi="Times New Roman" w:eastAsia="楷体_GB2312" w:cs="Times New Roman"/>
          <w:b/>
          <w:bCs/>
          <w:sz w:val="30"/>
          <w:szCs w:val="30"/>
        </w:rPr>
      </w:pPr>
      <w:bookmarkStart w:id="239" w:name="_Toc5061"/>
      <w:bookmarkStart w:id="240" w:name="_Toc528335072"/>
      <w:bookmarkStart w:id="241" w:name="_Toc522719024"/>
      <w:bookmarkStart w:id="242" w:name="_Toc524445045"/>
      <w:r>
        <w:rPr>
          <w:rFonts w:ascii="Times New Roman" w:hAnsi="Times New Roman" w:eastAsia="楷体_GB2312" w:cs="Times New Roman"/>
          <w:b/>
          <w:bCs/>
          <w:sz w:val="30"/>
          <w:szCs w:val="30"/>
        </w:rPr>
        <w:t>（一）实施资源有偿使用制度</w:t>
      </w:r>
      <w:bookmarkEnd w:id="239"/>
    </w:p>
    <w:p w14:paraId="6B3BA20E">
      <w:pPr>
        <w:adjustRightInd w:val="0"/>
        <w:snapToGrid w:val="0"/>
        <w:spacing w:line="500" w:lineRule="exact"/>
        <w:ind w:firstLine="600" w:firstLineChars="200"/>
        <w:rPr>
          <w:rFonts w:ascii="Times New Roman" w:hAnsi="Times New Roman" w:eastAsia="仿宋_GB2312" w:cs="Times New Roman"/>
          <w:sz w:val="30"/>
          <w:szCs w:val="30"/>
          <w:lang w:val="zh-CN"/>
        </w:rPr>
      </w:pPr>
      <w:r>
        <w:rPr>
          <w:rFonts w:hint="eastAsia" w:ascii="Times New Roman" w:hAnsi="Times New Roman" w:eastAsia="仿宋_GB2312" w:cs="Times New Roman"/>
          <w:sz w:val="30"/>
          <w:szCs w:val="30"/>
          <w:lang w:val="zh-CN"/>
        </w:rPr>
        <w:t>加快建立自然资源及其产品价格改革，逐步形成全面反映市场需求、资源稀缺程度、生态环境损害成本和修复效益的价格机制。根据洛隆县实际情况，逐步建立符合本县实际情况的生态保护补偿制度体系，探索建立区域间生态保护补偿工作目标考核体系，建立多元化补偿机制，完善转移支付制度，在保留一定的货币财政转移支付补偿外，积极探索产业、科研、教育、基础设施等多种补偿形式的可行性，将补偿金额与生态保护绩效挂钩，采取分类补偿与分档补助相结合的方式合理分配补偿资金，强化生态补偿资金监管力度。建立健全自然资源开发利用的收益分配使用机制，促进自然资源公平出让，高效利用。在《生态环境损害赔偿制度改革试点方案》的总体框架下，积极探索生态环境损害赔偿思路，构建出特色突出、责任明确、途径畅通、技术规范、保障有力、赔偿到位、修复有效的生态环境损害赔偿制度。</w:t>
      </w:r>
    </w:p>
    <w:p w14:paraId="69C4D76A">
      <w:pPr>
        <w:spacing w:line="580" w:lineRule="exact"/>
        <w:ind w:firstLine="600" w:firstLineChars="200"/>
        <w:outlineLvl w:val="2"/>
        <w:rPr>
          <w:rFonts w:ascii="Times New Roman" w:hAnsi="Times New Roman" w:eastAsia="楷体_GB2312" w:cs="Times New Roman"/>
          <w:b/>
          <w:bCs/>
          <w:sz w:val="30"/>
          <w:szCs w:val="30"/>
        </w:rPr>
      </w:pPr>
      <w:bookmarkStart w:id="243" w:name="_Toc11746"/>
      <w:r>
        <w:rPr>
          <w:rFonts w:ascii="Times New Roman" w:hAnsi="Times New Roman" w:eastAsia="楷体_GB2312" w:cs="Times New Roman"/>
          <w:b/>
          <w:bCs/>
          <w:sz w:val="30"/>
          <w:szCs w:val="30"/>
        </w:rPr>
        <w:t>（二）完善环境监管制度</w:t>
      </w:r>
      <w:bookmarkEnd w:id="243"/>
    </w:p>
    <w:p w14:paraId="3F88DFBD">
      <w:pPr>
        <w:adjustRightInd w:val="0"/>
        <w:snapToGrid w:val="0"/>
        <w:spacing w:line="500" w:lineRule="exact"/>
        <w:ind w:firstLine="600" w:firstLineChars="200"/>
        <w:rPr>
          <w:rFonts w:ascii="Times New Roman" w:hAnsi="Times New Roman" w:eastAsia="仿宋_GB2312" w:cs="Times New Roman"/>
          <w:sz w:val="30"/>
          <w:szCs w:val="30"/>
          <w:lang w:val="zh-CN"/>
        </w:rPr>
      </w:pPr>
      <w:r>
        <w:rPr>
          <w:rFonts w:hint="eastAsia" w:ascii="Times New Roman" w:hAnsi="Times New Roman" w:eastAsia="仿宋_GB2312" w:cs="Times New Roman"/>
          <w:sz w:val="30"/>
          <w:szCs w:val="30"/>
          <w:lang w:val="zh-CN"/>
        </w:rPr>
        <w:t>建立统一监管所有污染物排放的环境保护管理制度，加快完善在线监控网络，对全部污染源排放的所有污染物、纳污介质，加强统一监管。建立生态环境、住建、林草、农业农村、自然资源、水务等部门联动执法机制。按照国家、自治区、昌都市统一部署，有序推进环境监测监察执法垂直管理体制改革，完善跨界污染联防联治机制。加强乡镇环保机构能力建设，落实乡镇政府环保主体责任。强化监管手段。建立完善行政执法和环境司法的衔接机制，建立环保与公安、法院、检察院和监察机关的联席会议制度，完善案件移送、信息共享机制，推动生态环保案件专业化审理。</w:t>
      </w:r>
    </w:p>
    <w:p w14:paraId="00FC3486">
      <w:pPr>
        <w:spacing w:line="580" w:lineRule="exact"/>
        <w:ind w:firstLine="600" w:firstLineChars="200"/>
        <w:outlineLvl w:val="2"/>
        <w:rPr>
          <w:rFonts w:ascii="Times New Roman" w:hAnsi="Times New Roman" w:eastAsia="楷体_GB2312" w:cs="Times New Roman"/>
          <w:b/>
          <w:bCs/>
          <w:sz w:val="30"/>
          <w:szCs w:val="30"/>
        </w:rPr>
      </w:pPr>
      <w:r>
        <w:rPr>
          <w:rFonts w:hint="eastAsia" w:ascii="Times New Roman" w:hAnsi="Times New Roman" w:eastAsia="楷体_GB2312" w:cs="Times New Roman"/>
          <w:b/>
          <w:bCs/>
          <w:sz w:val="30"/>
          <w:szCs w:val="30"/>
        </w:rPr>
        <w:t>（三）执行污染物许可证制度</w:t>
      </w:r>
    </w:p>
    <w:p w14:paraId="6677AA81">
      <w:pPr>
        <w:adjustRightInd w:val="0"/>
        <w:snapToGrid w:val="0"/>
        <w:spacing w:line="500" w:lineRule="exact"/>
        <w:ind w:firstLine="600" w:firstLineChars="200"/>
        <w:rPr>
          <w:rFonts w:ascii="Times New Roman" w:hAnsi="Times New Roman" w:eastAsia="仿宋_GB2312" w:cs="Times New Roman"/>
          <w:sz w:val="30"/>
          <w:szCs w:val="30"/>
          <w:lang w:val="zh-CN"/>
        </w:rPr>
      </w:pPr>
      <w:r>
        <w:rPr>
          <w:rFonts w:hint="eastAsia" w:ascii="Times New Roman" w:hAnsi="Times New Roman" w:eastAsia="仿宋_GB2312" w:cs="Times New Roman"/>
          <w:sz w:val="30"/>
          <w:szCs w:val="30"/>
          <w:lang w:val="zh-CN"/>
        </w:rPr>
        <w:t>实施污染物排放标准和污染物排放总量</w:t>
      </w:r>
      <w:r>
        <w:rPr>
          <w:rFonts w:hint="cs" w:ascii="Times New Roman" w:hAnsi="Times New Roman" w:eastAsia="仿宋_GB2312" w:cs="Times New Roman"/>
          <w:sz w:val="30"/>
          <w:szCs w:val="30"/>
          <w:lang w:val="zh-CN"/>
        </w:rPr>
        <w:t>“</w:t>
      </w:r>
      <w:r>
        <w:rPr>
          <w:rFonts w:hint="eastAsia" w:ascii="Times New Roman" w:hAnsi="Times New Roman" w:eastAsia="仿宋_GB2312" w:cs="Times New Roman"/>
          <w:sz w:val="30"/>
          <w:szCs w:val="30"/>
          <w:lang w:val="zh-CN"/>
        </w:rPr>
        <w:t>双控制</w:t>
      </w:r>
      <w:r>
        <w:rPr>
          <w:rFonts w:hint="cs" w:ascii="Times New Roman" w:hAnsi="Times New Roman" w:eastAsia="仿宋_GB2312" w:cs="Times New Roman"/>
          <w:sz w:val="30"/>
          <w:szCs w:val="30"/>
          <w:lang w:val="zh-CN"/>
        </w:rPr>
        <w:t>”</w:t>
      </w:r>
      <w:r>
        <w:rPr>
          <w:rFonts w:hint="eastAsia" w:ascii="Times New Roman" w:hAnsi="Times New Roman" w:eastAsia="仿宋_GB2312" w:cs="Times New Roman"/>
          <w:sz w:val="30"/>
          <w:szCs w:val="30"/>
          <w:lang w:val="zh-CN"/>
        </w:rPr>
        <w:t>，建立环评、</w:t>
      </w:r>
      <w:r>
        <w:rPr>
          <w:rFonts w:hint="cs" w:ascii="Times New Roman" w:hAnsi="Times New Roman" w:eastAsia="仿宋_GB2312" w:cs="Times New Roman"/>
          <w:sz w:val="30"/>
          <w:szCs w:val="30"/>
          <w:lang w:val="zh-CN"/>
        </w:rPr>
        <w:t>“</w:t>
      </w:r>
      <w:r>
        <w:rPr>
          <w:rFonts w:hint="eastAsia" w:ascii="Times New Roman" w:hAnsi="Times New Roman" w:eastAsia="仿宋_GB2312" w:cs="Times New Roman"/>
          <w:sz w:val="30"/>
          <w:szCs w:val="30"/>
          <w:lang w:val="zh-CN"/>
        </w:rPr>
        <w:t>三同时</w:t>
      </w:r>
      <w:r>
        <w:rPr>
          <w:rFonts w:hint="cs" w:ascii="Times New Roman" w:hAnsi="Times New Roman" w:eastAsia="仿宋_GB2312" w:cs="Times New Roman"/>
          <w:sz w:val="30"/>
          <w:szCs w:val="30"/>
          <w:lang w:val="zh-CN"/>
        </w:rPr>
        <w:t>”</w:t>
      </w:r>
      <w:r>
        <w:rPr>
          <w:rFonts w:hint="eastAsia" w:ascii="Times New Roman" w:hAnsi="Times New Roman" w:eastAsia="仿宋_GB2312" w:cs="Times New Roman"/>
          <w:sz w:val="30"/>
          <w:szCs w:val="30"/>
          <w:lang w:val="zh-CN"/>
        </w:rPr>
        <w:t>和排污许可衔接的管理机制，实施建设项目环保全过程监管，实施以排污许可制为核心的固定污染源监管制度，对企事业单位和其他生产经营者实行排污许可重点管理、简化管理和登记管理。开展排污许可证核发，实行排污登记管理的企业事业单位和其他生产经营者应进行排污登记。做好洛隆县排污企业涉及的污水处理、垃圾处理、屠宰、资源回收、建材、汽修等重点行业，多家企业办理的排污许可证，做好排污许可证的证后管理工作（企业自查、执行报告编制等），发挥企业的环保主体责任，依法按证排污，推动企业主动承担环保责任，激励企业努力提高环保治理水平。</w:t>
      </w:r>
    </w:p>
    <w:p w14:paraId="17D50F0D">
      <w:pPr>
        <w:spacing w:line="580" w:lineRule="exact"/>
        <w:ind w:firstLine="600" w:firstLineChars="200"/>
        <w:outlineLvl w:val="2"/>
        <w:rPr>
          <w:rFonts w:ascii="Times New Roman" w:hAnsi="Times New Roman" w:eastAsia="楷体_GB2312" w:cs="Times New Roman"/>
          <w:b/>
          <w:bCs/>
          <w:sz w:val="30"/>
          <w:szCs w:val="30"/>
        </w:rPr>
      </w:pPr>
      <w:bookmarkStart w:id="244" w:name="_Toc7184"/>
      <w:r>
        <w:rPr>
          <w:rFonts w:ascii="Times New Roman" w:hAnsi="Times New Roman" w:eastAsia="楷体_GB2312" w:cs="Times New Roman"/>
          <w:b/>
          <w:bCs/>
          <w:sz w:val="30"/>
          <w:szCs w:val="30"/>
        </w:rPr>
        <w:t>（</w:t>
      </w:r>
      <w:r>
        <w:rPr>
          <w:rFonts w:hint="eastAsia" w:ascii="Times New Roman" w:hAnsi="Times New Roman" w:eastAsia="楷体_GB2312" w:cs="Times New Roman"/>
          <w:b/>
          <w:bCs/>
          <w:sz w:val="30"/>
          <w:szCs w:val="30"/>
        </w:rPr>
        <w:t>四</w:t>
      </w:r>
      <w:r>
        <w:rPr>
          <w:rFonts w:ascii="Times New Roman" w:hAnsi="Times New Roman" w:eastAsia="楷体_GB2312" w:cs="Times New Roman"/>
          <w:b/>
          <w:bCs/>
          <w:sz w:val="30"/>
          <w:szCs w:val="30"/>
        </w:rPr>
        <w:t>）健全环境信息公开制度</w:t>
      </w:r>
      <w:bookmarkEnd w:id="244"/>
    </w:p>
    <w:p w14:paraId="63AF3226">
      <w:pPr>
        <w:adjustRightInd w:val="0"/>
        <w:snapToGrid w:val="0"/>
        <w:spacing w:line="500" w:lineRule="exact"/>
        <w:ind w:firstLine="600" w:firstLineChars="200"/>
        <w:rPr>
          <w:rFonts w:ascii="Times New Roman" w:hAnsi="Times New Roman" w:eastAsia="仿宋_GB2312" w:cs="Times New Roman"/>
          <w:sz w:val="30"/>
          <w:szCs w:val="30"/>
          <w:lang w:val="zh-CN"/>
        </w:rPr>
      </w:pPr>
      <w:r>
        <w:rPr>
          <w:rFonts w:hint="eastAsia" w:ascii="Times New Roman" w:hAnsi="Times New Roman" w:eastAsia="仿宋_GB2312" w:cs="Times New Roman"/>
          <w:sz w:val="30"/>
          <w:szCs w:val="30"/>
          <w:lang w:val="zh-CN"/>
        </w:rPr>
        <w:t xml:space="preserve">按照《生态环境部政府信息公开实施办法》、《洛隆县环境信息公开制度》及《洛隆县环境信息公开责任追究制度》强化环境信息的公开透明，接受社会公众监督。结合环境保护工作最新形势，扩大环境信息公开范围，完善和落实新闻发布和重大环境信息披露，公开环保经济政策、辖区环境质量状况、生态补偿方案、环保领域的优惠政策等公务内容。以环保部门政务公开为平台，推进生态文明示范县建设信息的公开化，定期了解群众对环境决策、环境管理和环境问题的要求、情绪和意见，及时反馈给决策部门和有关单位，及时妥善处理各类环境信访投诉。规划期内，环境信息公开率保持100%。 </w:t>
      </w:r>
    </w:p>
    <w:p w14:paraId="5323C022">
      <w:pPr>
        <w:spacing w:line="580" w:lineRule="exact"/>
        <w:ind w:firstLine="600" w:firstLineChars="200"/>
        <w:outlineLvl w:val="2"/>
        <w:rPr>
          <w:rFonts w:ascii="Times New Roman" w:hAnsi="Times New Roman" w:eastAsia="楷体_GB2312" w:cs="Times New Roman"/>
          <w:b/>
          <w:bCs/>
          <w:sz w:val="30"/>
          <w:szCs w:val="30"/>
        </w:rPr>
      </w:pPr>
      <w:bookmarkStart w:id="245" w:name="_Toc32034"/>
      <w:r>
        <w:rPr>
          <w:rFonts w:hint="eastAsia" w:ascii="Times New Roman" w:hAnsi="Times New Roman" w:eastAsia="楷体_GB2312" w:cs="Times New Roman"/>
          <w:b/>
          <w:bCs/>
          <w:sz w:val="30"/>
          <w:szCs w:val="30"/>
        </w:rPr>
        <w:t>（五）推行企业主体责任制度</w:t>
      </w:r>
      <w:bookmarkEnd w:id="245"/>
    </w:p>
    <w:p w14:paraId="1D8EBA83">
      <w:pPr>
        <w:adjustRightInd w:val="0"/>
        <w:snapToGrid w:val="0"/>
        <w:spacing w:line="500" w:lineRule="exact"/>
        <w:ind w:firstLine="600" w:firstLineChars="200"/>
        <w:rPr>
          <w:rFonts w:ascii="Times New Roman" w:hAnsi="Times New Roman" w:eastAsia="仿宋_GB2312" w:cs="Times New Roman"/>
          <w:sz w:val="30"/>
          <w:szCs w:val="30"/>
          <w:lang w:val="zh-CN"/>
        </w:rPr>
      </w:pPr>
      <w:r>
        <w:rPr>
          <w:rFonts w:hint="eastAsia" w:ascii="Times New Roman" w:hAnsi="Times New Roman" w:eastAsia="仿宋_GB2312" w:cs="Times New Roman"/>
          <w:sz w:val="30"/>
          <w:szCs w:val="30"/>
          <w:lang w:val="zh-CN"/>
        </w:rPr>
        <w:t>增强企业环保自律意识，培育企业环境伦理和生态意识，严格遵守环保法律法规，企业承担环境保护主体责任，依法依规淘汰落后生产工艺技术，积极践行绿色生产方式，大力开展技术创新，保障治污设施正常运行、杜绝超标排污、规范危险废物处理处置、杜绝环境污染和生态破坏事故、接受执法检查等职责，利用市场机制和经济手段，逐步建立生产者责任延伸制度，加强培训，宣贯环保法律法规，提高企业全员环保理念，主动公开环境信息。</w:t>
      </w:r>
    </w:p>
    <w:p w14:paraId="0795E51F">
      <w:pPr>
        <w:spacing w:line="580" w:lineRule="exact"/>
        <w:jc w:val="center"/>
        <w:outlineLvl w:val="1"/>
        <w:rPr>
          <w:rFonts w:ascii="Times New Roman" w:hAnsi="Times New Roman" w:eastAsia="黑体" w:cs="Times New Roman"/>
          <w:bCs/>
          <w:sz w:val="32"/>
          <w:szCs w:val="32"/>
          <w:lang w:val="zh-CN"/>
        </w:rPr>
      </w:pPr>
      <w:bookmarkStart w:id="246" w:name="_Toc29575"/>
      <w:bookmarkStart w:id="247" w:name="_Toc11329"/>
      <w:bookmarkStart w:id="248" w:name="_Toc4308"/>
      <w:r>
        <w:rPr>
          <w:rFonts w:ascii="Times New Roman" w:hAnsi="Times New Roman" w:eastAsia="黑体" w:cs="Times New Roman"/>
          <w:bCs/>
          <w:sz w:val="32"/>
          <w:szCs w:val="32"/>
        </w:rPr>
        <w:t xml:space="preserve">第三节 </w:t>
      </w:r>
      <w:r>
        <w:rPr>
          <w:rFonts w:hint="eastAsia" w:ascii="Times New Roman" w:hAnsi="Times New Roman" w:eastAsia="黑体" w:cs="Times New Roman"/>
          <w:bCs/>
          <w:sz w:val="32"/>
          <w:szCs w:val="32"/>
        </w:rPr>
        <w:t xml:space="preserve"> 损害赔偿和责任追究制度</w:t>
      </w:r>
      <w:bookmarkEnd w:id="246"/>
      <w:bookmarkEnd w:id="247"/>
      <w:bookmarkEnd w:id="248"/>
    </w:p>
    <w:p w14:paraId="1C838C36">
      <w:pPr>
        <w:spacing w:line="580" w:lineRule="exact"/>
        <w:ind w:firstLine="600" w:firstLineChars="200"/>
        <w:outlineLvl w:val="2"/>
        <w:rPr>
          <w:rFonts w:ascii="Times New Roman" w:hAnsi="Times New Roman" w:eastAsia="楷体_GB2312" w:cs="Times New Roman"/>
          <w:b/>
          <w:bCs/>
          <w:sz w:val="30"/>
          <w:szCs w:val="30"/>
        </w:rPr>
      </w:pPr>
      <w:bookmarkStart w:id="249" w:name="_Toc11831"/>
      <w:r>
        <w:rPr>
          <w:rFonts w:ascii="Times New Roman" w:hAnsi="Times New Roman" w:eastAsia="楷体_GB2312" w:cs="Times New Roman"/>
          <w:b/>
          <w:bCs/>
          <w:sz w:val="30"/>
          <w:szCs w:val="30"/>
        </w:rPr>
        <w:t>（一）建立生态文明建设考核办法</w:t>
      </w:r>
      <w:bookmarkEnd w:id="249"/>
    </w:p>
    <w:p w14:paraId="7DA6C510">
      <w:pPr>
        <w:adjustRightInd w:val="0"/>
        <w:snapToGrid w:val="0"/>
        <w:spacing w:line="500" w:lineRule="exact"/>
        <w:ind w:firstLine="600" w:firstLineChars="200"/>
        <w:rPr>
          <w:rFonts w:ascii="Times New Roman" w:hAnsi="Times New Roman" w:eastAsia="仿宋_GB2312" w:cs="Times New Roman"/>
          <w:sz w:val="30"/>
          <w:szCs w:val="30"/>
          <w:lang w:val="zh-CN"/>
        </w:rPr>
      </w:pPr>
      <w:r>
        <w:rPr>
          <w:rFonts w:hint="eastAsia" w:ascii="Times New Roman" w:hAnsi="Times New Roman" w:eastAsia="仿宋_GB2312" w:cs="Times New Roman"/>
          <w:sz w:val="30"/>
          <w:szCs w:val="30"/>
          <w:lang w:val="zh-CN"/>
        </w:rPr>
        <w:t>认真落实《西藏自治区生态文明建设目标评价考核工作方案》，建立洛隆县生态文明建设考核办法，进一步提高生态、环境保护在党政实绩考核中的比例，将资源消耗、环境损害、生态效益、产能过剩、科技创新、安全生产等表征绿色发展的指标纳入党政实绩考核的范畴，重点考核各领导班子贯彻落实上级政府加快经济发展方式转变、推进生态文明建设的相关决策部署、生态环境保护、资源能源节约等方面情况。把生态文明建设考核结果作为干部任免奖惩的重要依据之一，并且与财政转移支付、生态补偿资金安排结合起来，让生态文明建设考核由“软约束”变成“硬杠杆”。建立生态文明建设目标责任制，助推生态文明建设示范县重点任务及指标的完成，确保党政干部生态文明培训全覆盖、加强生态文明知识普及率，规划期内全县生态文明建设工作占党政实绩考核的比例保持在20%以上。</w:t>
      </w:r>
    </w:p>
    <w:p w14:paraId="01E2E1AA">
      <w:pPr>
        <w:pStyle w:val="6"/>
        <w:numPr>
          <w:ilvl w:val="0"/>
          <w:numId w:val="7"/>
        </w:numPr>
        <w:spacing w:before="0" w:after="0" w:line="580" w:lineRule="exact"/>
        <w:rPr>
          <w:rFonts w:eastAsia="楷体_GB2312"/>
          <w:sz w:val="30"/>
          <w:szCs w:val="30"/>
        </w:rPr>
      </w:pPr>
      <w:r>
        <w:rPr>
          <w:rFonts w:hint="eastAsia" w:eastAsia="楷体_GB2312"/>
          <w:sz w:val="30"/>
          <w:szCs w:val="30"/>
        </w:rPr>
        <w:t>探索编制自然资源资产负债表</w:t>
      </w:r>
    </w:p>
    <w:p w14:paraId="77F7EB21">
      <w:pPr>
        <w:adjustRightInd w:val="0"/>
        <w:snapToGrid w:val="0"/>
        <w:spacing w:line="500" w:lineRule="exact"/>
        <w:ind w:firstLine="600" w:firstLineChars="200"/>
        <w:rPr>
          <w:rFonts w:ascii="Times New Roman" w:hAnsi="Times New Roman" w:eastAsia="仿宋_GB2312" w:cs="Times New Roman"/>
          <w:sz w:val="30"/>
          <w:szCs w:val="30"/>
          <w:lang w:val="zh-CN"/>
        </w:rPr>
      </w:pPr>
      <w:r>
        <w:rPr>
          <w:rFonts w:hint="eastAsia" w:ascii="Times New Roman" w:hAnsi="Times New Roman" w:eastAsia="仿宋_GB2312" w:cs="Times New Roman"/>
          <w:sz w:val="30"/>
          <w:szCs w:val="30"/>
          <w:lang w:val="zh-CN"/>
        </w:rPr>
        <w:t>对洛隆县重点生态保护区以及其他重要自然生态空间，矿产、生物、动物等自然资源进行统一确权登记，形成权责明确、监管有效的自然资源资产产权制度，规划近期探索编制完成洛隆县自然资源资产负债表，摸清洛隆县自然空间、自然资源“家底”，将其作为衡量洛隆县生态绩效的重要指标，将对环境保护乃至生态文明建设工作形成有效的倒逼机制，根据自然资源资产负债表，加强洛隆县生态系统保护和利用，促进洛隆县经济社会绿色发展。</w:t>
      </w:r>
    </w:p>
    <w:p w14:paraId="7D044FEA">
      <w:pPr>
        <w:spacing w:line="580" w:lineRule="exact"/>
        <w:ind w:firstLine="600" w:firstLineChars="200"/>
        <w:outlineLvl w:val="2"/>
        <w:rPr>
          <w:rFonts w:ascii="Times New Roman" w:hAnsi="Times New Roman" w:eastAsia="楷体_GB2312" w:cs="Times New Roman"/>
          <w:b/>
          <w:bCs/>
          <w:sz w:val="30"/>
          <w:szCs w:val="30"/>
        </w:rPr>
      </w:pPr>
      <w:bookmarkStart w:id="250" w:name="_Toc9338"/>
      <w:r>
        <w:rPr>
          <w:rFonts w:ascii="Times New Roman" w:hAnsi="Times New Roman" w:eastAsia="楷体_GB2312" w:cs="Times New Roman"/>
          <w:b/>
          <w:bCs/>
          <w:sz w:val="30"/>
          <w:szCs w:val="30"/>
        </w:rPr>
        <w:t>（</w:t>
      </w:r>
      <w:r>
        <w:rPr>
          <w:rFonts w:hint="eastAsia" w:ascii="Times New Roman" w:hAnsi="Times New Roman" w:eastAsia="楷体_GB2312" w:cs="Times New Roman"/>
          <w:b/>
          <w:bCs/>
          <w:sz w:val="30"/>
          <w:szCs w:val="30"/>
        </w:rPr>
        <w:t>三</w:t>
      </w:r>
      <w:r>
        <w:rPr>
          <w:rFonts w:ascii="Times New Roman" w:hAnsi="Times New Roman" w:eastAsia="楷体_GB2312" w:cs="Times New Roman"/>
          <w:b/>
          <w:bCs/>
          <w:sz w:val="30"/>
          <w:szCs w:val="30"/>
        </w:rPr>
        <w:t>）开展资源环境离任审计制度</w:t>
      </w:r>
      <w:bookmarkEnd w:id="250"/>
    </w:p>
    <w:p w14:paraId="297ACFC0">
      <w:pPr>
        <w:adjustRightInd w:val="0"/>
        <w:snapToGrid w:val="0"/>
        <w:spacing w:line="500" w:lineRule="exact"/>
        <w:ind w:firstLine="600" w:firstLineChars="200"/>
        <w:rPr>
          <w:rFonts w:ascii="Times New Roman" w:hAnsi="Times New Roman" w:eastAsia="仿宋_GB2312" w:cs="Times New Roman"/>
          <w:sz w:val="30"/>
          <w:szCs w:val="30"/>
          <w:lang w:val="zh-CN"/>
        </w:rPr>
      </w:pPr>
      <w:r>
        <w:rPr>
          <w:rFonts w:hint="eastAsia" w:ascii="Times New Roman" w:hAnsi="Times New Roman" w:eastAsia="仿宋_GB2312" w:cs="Times New Roman"/>
          <w:sz w:val="30"/>
          <w:szCs w:val="30"/>
          <w:lang w:val="zh-CN"/>
        </w:rPr>
        <w:t>执行国务院办公厅《关于开展领导干部自然资源资产离任审计的试点方案》以及中共西藏自治区委员会办公厅、西藏自治区人民政府办公厅印发的《贯彻落实开展领导干部自然资源资产离任审计试点方案的实施意见》文件，理清自然资源资产负债情况，在编制自然资源资产负债表和合理考虑客观自然因素基础上，积极探索领导干部自然资源资产离任审计的目标、内容、方法和评价指标体系。以领导干部任期内辖区自然资源资产变化状况为基础，通过审计，客观评价领导干部履行自然资源资产管理责任情况，依法界定领导干部应当承担的责任，并将审计结果作为领导干部提拔任用的重要依据。</w:t>
      </w:r>
    </w:p>
    <w:p w14:paraId="6780C972">
      <w:pPr>
        <w:spacing w:line="580" w:lineRule="exact"/>
        <w:ind w:firstLine="600" w:firstLineChars="200"/>
        <w:outlineLvl w:val="2"/>
        <w:rPr>
          <w:rFonts w:ascii="Times New Roman" w:hAnsi="Times New Roman" w:eastAsia="楷体_GB2312" w:cs="Times New Roman"/>
          <w:b/>
          <w:bCs/>
          <w:sz w:val="30"/>
          <w:szCs w:val="30"/>
        </w:rPr>
      </w:pPr>
      <w:bookmarkStart w:id="251" w:name="_Toc3820"/>
      <w:r>
        <w:rPr>
          <w:rFonts w:ascii="Times New Roman" w:hAnsi="Times New Roman" w:eastAsia="楷体_GB2312" w:cs="Times New Roman"/>
          <w:b/>
          <w:bCs/>
          <w:sz w:val="30"/>
          <w:szCs w:val="30"/>
        </w:rPr>
        <w:t>（</w:t>
      </w:r>
      <w:r>
        <w:rPr>
          <w:rFonts w:hint="eastAsia" w:ascii="Times New Roman" w:hAnsi="Times New Roman" w:eastAsia="楷体_GB2312" w:cs="Times New Roman"/>
          <w:b/>
          <w:bCs/>
          <w:sz w:val="30"/>
          <w:szCs w:val="30"/>
        </w:rPr>
        <w:t>四</w:t>
      </w:r>
      <w:r>
        <w:rPr>
          <w:rFonts w:ascii="Times New Roman" w:hAnsi="Times New Roman" w:eastAsia="楷体_GB2312" w:cs="Times New Roman"/>
          <w:b/>
          <w:bCs/>
          <w:sz w:val="30"/>
          <w:szCs w:val="30"/>
        </w:rPr>
        <w:t>）实施生态环境损害责任终身追究制度</w:t>
      </w:r>
      <w:bookmarkEnd w:id="251"/>
    </w:p>
    <w:p w14:paraId="52BD0C4E">
      <w:pPr>
        <w:adjustRightInd w:val="0"/>
        <w:snapToGrid w:val="0"/>
        <w:spacing w:line="500" w:lineRule="exact"/>
        <w:ind w:firstLine="600" w:firstLineChars="200"/>
        <w:rPr>
          <w:rFonts w:ascii="Times New Roman" w:hAnsi="Times New Roman" w:eastAsia="仿宋_GB2312" w:cs="Times New Roman"/>
          <w:sz w:val="30"/>
          <w:szCs w:val="30"/>
          <w:lang w:val="zh-CN"/>
        </w:rPr>
      </w:pPr>
      <w:r>
        <w:rPr>
          <w:rFonts w:hint="eastAsia" w:ascii="Times New Roman" w:hAnsi="Times New Roman" w:eastAsia="仿宋_GB2312" w:cs="Times New Roman"/>
          <w:sz w:val="30"/>
          <w:szCs w:val="30"/>
          <w:lang w:val="zh-CN"/>
        </w:rPr>
        <w:t>严格执行《党政领导干部生态环境损害责任追究办法(试行)》、《西藏自治区生态环境损害赔偿制度改革实施方案》，对生态文明年度目标任务未完成、考核不合格的乡镇，党政主要负责人和相关领导班子成员不得评优评先。对在生态环境方面造成严重破坏负有责任的干部，不得提拔使用或者转任重要职务。对不顾生态环境盲目决策、违法违规审批开发利用规划和建设项目的，对造成生态环境质量恶化、生态严重破坏的，对生态环境事件多发高发、应对不力、群众反映强烈的，对生态环境保护责任没有落实、推诿扯皮、没有完成工作任务的，依纪依法严格问责、终身追责。</w:t>
      </w:r>
    </w:p>
    <w:p w14:paraId="398DE9C6">
      <w:pPr>
        <w:spacing w:line="580" w:lineRule="exact"/>
        <w:jc w:val="center"/>
        <w:outlineLvl w:val="1"/>
        <w:rPr>
          <w:rFonts w:ascii="Times New Roman" w:hAnsi="Times New Roman" w:eastAsia="黑体" w:cs="Times New Roman"/>
          <w:bCs/>
          <w:sz w:val="32"/>
          <w:szCs w:val="32"/>
          <w:lang w:val="zh-CN"/>
        </w:rPr>
      </w:pPr>
      <w:bookmarkStart w:id="252" w:name="_Toc18712"/>
      <w:bookmarkStart w:id="253" w:name="_Toc26458"/>
      <w:bookmarkStart w:id="254" w:name="_Toc19203"/>
      <w:r>
        <w:rPr>
          <w:rFonts w:ascii="Times New Roman" w:hAnsi="Times New Roman" w:eastAsia="黑体" w:cs="Times New Roman"/>
          <w:bCs/>
          <w:sz w:val="32"/>
          <w:szCs w:val="32"/>
        </w:rPr>
        <w:t xml:space="preserve">第四节 </w:t>
      </w:r>
      <w:r>
        <w:rPr>
          <w:rFonts w:hint="eastAsia" w:ascii="Times New Roman" w:hAnsi="Times New Roman" w:eastAsia="黑体" w:cs="Times New Roman"/>
          <w:bCs/>
          <w:sz w:val="32"/>
          <w:szCs w:val="32"/>
        </w:rPr>
        <w:t xml:space="preserve"> </w:t>
      </w:r>
      <w:r>
        <w:rPr>
          <w:rFonts w:ascii="Times New Roman" w:hAnsi="Times New Roman" w:eastAsia="黑体" w:cs="Times New Roman"/>
          <w:bCs/>
          <w:sz w:val="32"/>
          <w:szCs w:val="32"/>
        </w:rPr>
        <w:t>环境经济政策</w:t>
      </w:r>
      <w:bookmarkEnd w:id="252"/>
      <w:bookmarkEnd w:id="253"/>
      <w:bookmarkEnd w:id="254"/>
    </w:p>
    <w:p w14:paraId="144E17D1">
      <w:pPr>
        <w:spacing w:line="580" w:lineRule="exact"/>
        <w:ind w:firstLine="600" w:firstLineChars="200"/>
        <w:outlineLvl w:val="2"/>
        <w:rPr>
          <w:rFonts w:ascii="Times New Roman" w:hAnsi="Times New Roman" w:eastAsia="楷体_GB2312" w:cs="Times New Roman"/>
          <w:b/>
          <w:bCs/>
          <w:sz w:val="30"/>
          <w:szCs w:val="30"/>
        </w:rPr>
      </w:pPr>
      <w:bookmarkStart w:id="255" w:name="_Toc22640"/>
      <w:r>
        <w:rPr>
          <w:rFonts w:ascii="Times New Roman" w:hAnsi="Times New Roman" w:eastAsia="楷体_GB2312" w:cs="Times New Roman"/>
          <w:b/>
          <w:bCs/>
          <w:sz w:val="30"/>
          <w:szCs w:val="30"/>
        </w:rPr>
        <w:t>（一）加大财政资金投入政策</w:t>
      </w:r>
      <w:bookmarkEnd w:id="255"/>
    </w:p>
    <w:p w14:paraId="12F459F6">
      <w:pPr>
        <w:adjustRightInd w:val="0"/>
        <w:snapToGrid w:val="0"/>
        <w:spacing w:line="500" w:lineRule="exact"/>
        <w:ind w:firstLine="600" w:firstLineChars="200"/>
        <w:rPr>
          <w:rFonts w:ascii="Times New Roman" w:hAnsi="Times New Roman" w:eastAsia="仿宋_GB2312" w:cs="Times New Roman"/>
          <w:sz w:val="30"/>
          <w:szCs w:val="30"/>
          <w:lang w:val="zh-CN"/>
        </w:rPr>
      </w:pPr>
      <w:r>
        <w:rPr>
          <w:rFonts w:hint="eastAsia" w:ascii="Times New Roman" w:hAnsi="Times New Roman" w:eastAsia="仿宋_GB2312" w:cs="Times New Roman"/>
          <w:sz w:val="30"/>
          <w:szCs w:val="30"/>
          <w:lang w:val="zh-CN"/>
        </w:rPr>
        <w:t>将生态文明建设纳入洛隆县公共财政预算，加大财政资金投入，保证逐年有所增长，重大的生态文明建设项目应优先纳入国民经济社会发展计划。各级财政部分充分发挥职能作用，加大资金投入力度，完善环境保护基础设施建设，开展城乡环境综合整治，实施退耕还林，退耕还草以及森林生态效益补助资金等工作，研究环境保护相关政策，争取国家、自治区以及昌都市财政资金支持，拓展财政支持来源。</w:t>
      </w:r>
    </w:p>
    <w:p w14:paraId="432BEC36">
      <w:pPr>
        <w:spacing w:line="580" w:lineRule="exact"/>
        <w:ind w:firstLine="600" w:firstLineChars="200"/>
        <w:outlineLvl w:val="2"/>
        <w:rPr>
          <w:rFonts w:ascii="Times New Roman" w:hAnsi="Times New Roman" w:eastAsia="楷体_GB2312" w:cs="Times New Roman"/>
          <w:b/>
          <w:bCs/>
          <w:sz w:val="30"/>
          <w:szCs w:val="30"/>
        </w:rPr>
      </w:pPr>
      <w:bookmarkStart w:id="256" w:name="_Toc4346"/>
      <w:r>
        <w:rPr>
          <w:rFonts w:ascii="Times New Roman" w:hAnsi="Times New Roman" w:eastAsia="楷体_GB2312" w:cs="Times New Roman"/>
          <w:b/>
          <w:bCs/>
          <w:sz w:val="30"/>
          <w:szCs w:val="30"/>
        </w:rPr>
        <w:t>（二）建立生态补偿制度</w:t>
      </w:r>
      <w:bookmarkEnd w:id="256"/>
    </w:p>
    <w:p w14:paraId="0711B627">
      <w:pPr>
        <w:adjustRightInd w:val="0"/>
        <w:snapToGrid w:val="0"/>
        <w:spacing w:line="500" w:lineRule="exact"/>
        <w:ind w:firstLine="600" w:firstLineChars="200"/>
        <w:rPr>
          <w:rFonts w:ascii="Times New Roman" w:hAnsi="Times New Roman" w:eastAsia="仿宋_GB2312" w:cs="Times New Roman"/>
          <w:sz w:val="30"/>
          <w:szCs w:val="30"/>
          <w:lang w:val="zh-CN"/>
        </w:rPr>
      </w:pPr>
      <w:r>
        <w:rPr>
          <w:rFonts w:hint="eastAsia" w:ascii="Times New Roman" w:hAnsi="Times New Roman" w:eastAsia="仿宋_GB2312" w:cs="Times New Roman"/>
          <w:sz w:val="30"/>
          <w:szCs w:val="30"/>
          <w:lang w:val="zh-CN"/>
        </w:rPr>
        <w:t>按照"谁保护、谁受益"，"谁改善、谁得益"，"谁贡献大、谁多得益"的原则，进一步完善生态补偿制度。以重点流域、生态公益林、饮用水源保护区、生态红线保护区等为重点领域，研究和制定适合洛隆县县域的多元化生态补偿机制和途径，推动地区间建立横向生态补偿制度，可试点怒江流域生态补偿制度，协调环境保护中各相关区域之间的利益关系。</w:t>
      </w:r>
    </w:p>
    <w:p w14:paraId="4D85A42C">
      <w:pPr>
        <w:spacing w:line="580" w:lineRule="exact"/>
        <w:ind w:firstLine="600" w:firstLineChars="200"/>
        <w:outlineLvl w:val="2"/>
        <w:rPr>
          <w:rFonts w:ascii="Times New Roman" w:hAnsi="Times New Roman" w:eastAsia="楷体_GB2312" w:cs="Times New Roman"/>
          <w:b/>
          <w:bCs/>
          <w:sz w:val="30"/>
          <w:szCs w:val="30"/>
        </w:rPr>
      </w:pPr>
      <w:bookmarkStart w:id="257" w:name="_Toc4910"/>
      <w:r>
        <w:rPr>
          <w:rFonts w:ascii="Times New Roman" w:hAnsi="Times New Roman" w:eastAsia="楷体_GB2312" w:cs="Times New Roman"/>
          <w:b/>
          <w:bCs/>
          <w:sz w:val="30"/>
          <w:szCs w:val="30"/>
        </w:rPr>
        <w:t>（三）探索生态环境损害赔偿制度</w:t>
      </w:r>
      <w:bookmarkEnd w:id="257"/>
    </w:p>
    <w:p w14:paraId="1AF81A0E">
      <w:pPr>
        <w:adjustRightInd w:val="0"/>
        <w:snapToGrid w:val="0"/>
        <w:spacing w:line="500" w:lineRule="exact"/>
        <w:ind w:firstLine="600" w:firstLineChars="200"/>
        <w:rPr>
          <w:rFonts w:ascii="Times New Roman" w:hAnsi="Times New Roman" w:eastAsia="仿宋_GB2312" w:cs="Times New Roman"/>
          <w:sz w:val="30"/>
          <w:szCs w:val="30"/>
          <w:lang w:val="zh-CN"/>
        </w:rPr>
      </w:pPr>
      <w:r>
        <w:rPr>
          <w:rFonts w:hint="eastAsia" w:ascii="Times New Roman" w:hAnsi="Times New Roman" w:eastAsia="仿宋_GB2312" w:cs="Times New Roman"/>
          <w:sz w:val="30"/>
          <w:szCs w:val="30"/>
          <w:lang w:val="zh-CN"/>
        </w:rPr>
        <w:t>在《生态环境损害赔偿制度改革方案》的总体框架下，探索实施洛隆县生态环境损害赔偿制度，明确赔偿范围、责任主体、索赔主体、索赔途径等内容，在生态环境损害调查、评估、修复方案制定与修复执行等赔偿过程中，强化公众知情权、参与权与监督权，规划生态环境损害资金管理，构建责任明确、途径畅通、技术规范、保障有力、赔偿到位、修复有效的生态环境损害赔偿制度，将生态环境损害赔偿制度落到实处。</w:t>
      </w:r>
    </w:p>
    <w:p w14:paraId="3B0C5E68">
      <w:pPr>
        <w:spacing w:line="580" w:lineRule="exact"/>
        <w:ind w:firstLine="600" w:firstLineChars="200"/>
        <w:outlineLvl w:val="2"/>
        <w:rPr>
          <w:rFonts w:ascii="Times New Roman" w:hAnsi="Times New Roman" w:eastAsia="楷体_GB2312" w:cs="Times New Roman"/>
          <w:b/>
          <w:bCs/>
          <w:sz w:val="30"/>
          <w:szCs w:val="30"/>
        </w:rPr>
      </w:pPr>
      <w:bookmarkStart w:id="258" w:name="_Toc23435"/>
      <w:r>
        <w:rPr>
          <w:rFonts w:ascii="Times New Roman" w:hAnsi="Times New Roman" w:eastAsia="楷体_GB2312" w:cs="Times New Roman"/>
          <w:b/>
          <w:bCs/>
          <w:sz w:val="30"/>
          <w:szCs w:val="30"/>
        </w:rPr>
        <w:t>（四）健全环境信用评价与绿色信贷</w:t>
      </w:r>
      <w:bookmarkEnd w:id="258"/>
    </w:p>
    <w:p w14:paraId="648E9505">
      <w:pPr>
        <w:adjustRightInd w:val="0"/>
        <w:snapToGrid w:val="0"/>
        <w:spacing w:line="500" w:lineRule="exact"/>
        <w:ind w:firstLine="600" w:firstLineChars="200"/>
        <w:rPr>
          <w:rFonts w:ascii="Times New Roman" w:hAnsi="Times New Roman" w:eastAsia="仿宋_GB2312" w:cs="Times New Roman"/>
          <w:sz w:val="30"/>
          <w:szCs w:val="30"/>
          <w:lang w:val="zh-CN"/>
        </w:rPr>
      </w:pPr>
      <w:r>
        <w:rPr>
          <w:rFonts w:hint="eastAsia" w:ascii="Times New Roman" w:hAnsi="Times New Roman" w:eastAsia="仿宋_GB2312" w:cs="Times New Roman"/>
          <w:sz w:val="30"/>
          <w:szCs w:val="30"/>
          <w:lang w:val="zh-CN"/>
        </w:rPr>
        <w:t>推动有关部门和机构在行政许可、公共采购、评先创优、金融支持、资质等级评定、安排和拨付有关财政补贴专项资金中，根据企业环境信用状况予以支持或限制。根据节能环保产业经济发展的特点，积极开展金融产品和服务创新。健全绿色信贷政策，发挥绿色信贷对产业结构调整的作用。</w:t>
      </w:r>
    </w:p>
    <w:p w14:paraId="4CF7C778">
      <w:pPr>
        <w:spacing w:line="580" w:lineRule="exact"/>
        <w:ind w:firstLine="600" w:firstLineChars="200"/>
        <w:outlineLvl w:val="2"/>
        <w:rPr>
          <w:rFonts w:ascii="Times New Roman" w:hAnsi="Times New Roman" w:eastAsia="楷体_GB2312" w:cs="Times New Roman"/>
          <w:b/>
          <w:bCs/>
          <w:sz w:val="30"/>
          <w:szCs w:val="30"/>
        </w:rPr>
      </w:pPr>
      <w:bookmarkStart w:id="259" w:name="_Toc24119"/>
      <w:r>
        <w:rPr>
          <w:rFonts w:ascii="Times New Roman" w:hAnsi="Times New Roman" w:eastAsia="楷体_GB2312" w:cs="Times New Roman"/>
          <w:b/>
          <w:bCs/>
          <w:sz w:val="30"/>
          <w:szCs w:val="30"/>
        </w:rPr>
        <w:t>（五）完善环境污染责任保险</w:t>
      </w:r>
      <w:bookmarkEnd w:id="259"/>
    </w:p>
    <w:p w14:paraId="58AC1A96">
      <w:pPr>
        <w:adjustRightInd w:val="0"/>
        <w:snapToGrid w:val="0"/>
        <w:spacing w:line="500" w:lineRule="exact"/>
        <w:ind w:firstLine="600" w:firstLineChars="200"/>
        <w:rPr>
          <w:rFonts w:ascii="Times New Roman" w:hAnsi="Times New Roman" w:eastAsia="仿宋_GB2312" w:cs="Times New Roman"/>
          <w:sz w:val="30"/>
          <w:szCs w:val="30"/>
          <w:lang w:val="zh-CN"/>
        </w:rPr>
      </w:pPr>
      <w:r>
        <w:rPr>
          <w:rFonts w:hint="eastAsia" w:ascii="Times New Roman" w:hAnsi="Times New Roman" w:eastAsia="仿宋_GB2312" w:cs="Times New Roman"/>
          <w:sz w:val="30"/>
          <w:szCs w:val="30"/>
          <w:lang w:val="zh-CN"/>
        </w:rPr>
        <w:t>在环境高风险领域建立环境污染强制责任保险制度，在高环境风险行业启动环境污染强制责任保险试点，从环境污染损害分类、承保范围、保险模式、承保机构和理赔方式等方面完善环境污染责任保险机制，鼓励各保险公司开发相关产品，为企业提供全面风险保障。</w:t>
      </w:r>
    </w:p>
    <w:p w14:paraId="5D84DE15">
      <w:pPr>
        <w:spacing w:line="580" w:lineRule="exact"/>
        <w:jc w:val="center"/>
        <w:outlineLvl w:val="1"/>
        <w:rPr>
          <w:rFonts w:ascii="Times New Roman" w:hAnsi="Times New Roman" w:eastAsia="黑体" w:cs="Times New Roman"/>
          <w:bCs/>
          <w:sz w:val="32"/>
          <w:szCs w:val="32"/>
          <w:lang w:val="zh-CN"/>
        </w:rPr>
      </w:pPr>
      <w:bookmarkStart w:id="260" w:name="_Toc289"/>
      <w:bookmarkStart w:id="261" w:name="_Toc10464"/>
      <w:bookmarkStart w:id="262" w:name="_Toc815"/>
      <w:r>
        <w:rPr>
          <w:rFonts w:ascii="Times New Roman" w:hAnsi="Times New Roman" w:eastAsia="黑体" w:cs="Times New Roman"/>
          <w:bCs/>
          <w:sz w:val="32"/>
          <w:szCs w:val="32"/>
        </w:rPr>
        <w:t xml:space="preserve">第五节 </w:t>
      </w:r>
      <w:r>
        <w:rPr>
          <w:rFonts w:hint="eastAsia" w:ascii="Times New Roman" w:hAnsi="Times New Roman" w:eastAsia="黑体" w:cs="Times New Roman"/>
          <w:bCs/>
          <w:sz w:val="32"/>
          <w:szCs w:val="32"/>
        </w:rPr>
        <w:t xml:space="preserve"> </w:t>
      </w:r>
      <w:r>
        <w:rPr>
          <w:rFonts w:ascii="Times New Roman" w:hAnsi="Times New Roman" w:eastAsia="黑体" w:cs="Times New Roman"/>
          <w:bCs/>
          <w:sz w:val="32"/>
          <w:szCs w:val="32"/>
        </w:rPr>
        <w:t>市场运行机制</w:t>
      </w:r>
      <w:bookmarkEnd w:id="260"/>
      <w:bookmarkEnd w:id="261"/>
      <w:bookmarkEnd w:id="262"/>
      <w:r>
        <w:rPr>
          <w:rFonts w:ascii="Times New Roman" w:hAnsi="Times New Roman" w:eastAsia="黑体" w:cs="Times New Roman"/>
          <w:bCs/>
          <w:sz w:val="32"/>
          <w:szCs w:val="32"/>
        </w:rPr>
        <w:t xml:space="preserve"> </w:t>
      </w:r>
    </w:p>
    <w:p w14:paraId="4D48B38E">
      <w:pPr>
        <w:adjustRightInd w:val="0"/>
        <w:snapToGrid w:val="0"/>
        <w:spacing w:line="580" w:lineRule="exact"/>
        <w:ind w:firstLine="600" w:firstLineChars="200"/>
        <w:outlineLvl w:val="2"/>
        <w:rPr>
          <w:rFonts w:ascii="Times New Roman" w:hAnsi="Times New Roman" w:eastAsia="楷体_GB2312" w:cs="Times New Roman"/>
          <w:b/>
          <w:bCs/>
          <w:sz w:val="30"/>
          <w:szCs w:val="30"/>
        </w:rPr>
      </w:pPr>
      <w:bookmarkStart w:id="263" w:name="_Toc3971"/>
      <w:r>
        <w:rPr>
          <w:rFonts w:ascii="Times New Roman" w:hAnsi="Times New Roman" w:eastAsia="楷体_GB2312" w:cs="Times New Roman"/>
          <w:b/>
          <w:bCs/>
          <w:sz w:val="30"/>
          <w:szCs w:val="30"/>
        </w:rPr>
        <w:t>（</w:t>
      </w:r>
      <w:r>
        <w:rPr>
          <w:rFonts w:hint="eastAsia" w:ascii="Times New Roman" w:hAnsi="Times New Roman" w:eastAsia="楷体_GB2312" w:cs="Times New Roman"/>
          <w:b/>
          <w:bCs/>
          <w:sz w:val="30"/>
          <w:szCs w:val="30"/>
        </w:rPr>
        <w:t>一</w:t>
      </w:r>
      <w:r>
        <w:rPr>
          <w:rFonts w:ascii="Times New Roman" w:hAnsi="Times New Roman" w:eastAsia="楷体_GB2312" w:cs="Times New Roman"/>
          <w:b/>
          <w:bCs/>
          <w:sz w:val="30"/>
          <w:szCs w:val="30"/>
        </w:rPr>
        <w:t>）推行环境污染第三方治理</w:t>
      </w:r>
      <w:bookmarkEnd w:id="263"/>
      <w:r>
        <w:rPr>
          <w:rFonts w:ascii="Times New Roman" w:hAnsi="Times New Roman" w:eastAsia="楷体_GB2312" w:cs="Times New Roman"/>
          <w:b/>
          <w:bCs/>
          <w:sz w:val="30"/>
          <w:szCs w:val="30"/>
        </w:rPr>
        <w:t xml:space="preserve"> </w:t>
      </w:r>
    </w:p>
    <w:p w14:paraId="791D25F3">
      <w:pPr>
        <w:adjustRightInd w:val="0"/>
        <w:snapToGrid w:val="0"/>
        <w:spacing w:line="500" w:lineRule="exact"/>
        <w:ind w:firstLine="600" w:firstLineChars="200"/>
        <w:rPr>
          <w:rFonts w:ascii="Times New Roman" w:hAnsi="Times New Roman" w:eastAsia="仿宋_GB2312" w:cs="Times New Roman"/>
          <w:sz w:val="30"/>
          <w:szCs w:val="30"/>
          <w:lang w:val="zh-CN"/>
        </w:rPr>
      </w:pPr>
      <w:r>
        <w:rPr>
          <w:rFonts w:hint="eastAsia" w:ascii="Times New Roman" w:hAnsi="Times New Roman" w:eastAsia="仿宋_GB2312" w:cs="Times New Roman"/>
          <w:sz w:val="30"/>
          <w:szCs w:val="30"/>
          <w:lang w:val="zh-CN"/>
        </w:rPr>
        <w:t>建立吸引社会资本投入生态环境保护的市场化机制，积极推行环境污染第三方治理，采用市场手段解决环保问题，排污企业通过缴纳或按合同约定支付费用，委托环境服务公司进行污染治理。推行第三方治理，吸纳社会资金投入环保基础设施及运营中，有效推进洛隆县环境服务产业化、污染治理市场化。</w:t>
      </w:r>
    </w:p>
    <w:p w14:paraId="6E45D389">
      <w:pPr>
        <w:spacing w:line="580" w:lineRule="exact"/>
        <w:ind w:firstLine="600" w:firstLineChars="200"/>
        <w:outlineLvl w:val="2"/>
        <w:rPr>
          <w:rFonts w:ascii="Times New Roman" w:hAnsi="Times New Roman" w:eastAsia="楷体_GB2312" w:cs="Times New Roman"/>
          <w:b/>
          <w:bCs/>
          <w:sz w:val="30"/>
          <w:szCs w:val="30"/>
        </w:rPr>
      </w:pPr>
      <w:bookmarkStart w:id="264" w:name="_Toc1241"/>
      <w:r>
        <w:rPr>
          <w:rFonts w:ascii="Times New Roman" w:hAnsi="Times New Roman" w:eastAsia="楷体_GB2312" w:cs="Times New Roman"/>
          <w:b/>
          <w:bCs/>
          <w:sz w:val="30"/>
          <w:szCs w:val="30"/>
        </w:rPr>
        <w:t>（</w:t>
      </w:r>
      <w:r>
        <w:rPr>
          <w:rFonts w:hint="eastAsia" w:ascii="Times New Roman" w:hAnsi="Times New Roman" w:eastAsia="楷体_GB2312" w:cs="Times New Roman"/>
          <w:b/>
          <w:bCs/>
          <w:sz w:val="30"/>
          <w:szCs w:val="30"/>
        </w:rPr>
        <w:t>二</w:t>
      </w:r>
      <w:r>
        <w:rPr>
          <w:rFonts w:ascii="Times New Roman" w:hAnsi="Times New Roman" w:eastAsia="楷体_GB2312" w:cs="Times New Roman"/>
          <w:b/>
          <w:bCs/>
          <w:sz w:val="30"/>
          <w:szCs w:val="30"/>
        </w:rPr>
        <w:t>）推广绿色产品认证</w:t>
      </w:r>
      <w:bookmarkEnd w:id="264"/>
    </w:p>
    <w:p w14:paraId="07D11D25">
      <w:pPr>
        <w:adjustRightInd w:val="0"/>
        <w:snapToGrid w:val="0"/>
        <w:spacing w:line="500" w:lineRule="exact"/>
        <w:ind w:firstLine="600" w:firstLineChars="200"/>
        <w:rPr>
          <w:rFonts w:ascii="Times New Roman" w:hAnsi="Times New Roman" w:eastAsia="仿宋_GB2312" w:cs="Times New Roman"/>
          <w:sz w:val="30"/>
          <w:szCs w:val="30"/>
          <w:lang w:val="zh-CN"/>
        </w:rPr>
      </w:pPr>
      <w:r>
        <w:rPr>
          <w:rFonts w:hint="eastAsia" w:ascii="Times New Roman" w:hAnsi="Times New Roman" w:eastAsia="仿宋_GB2312" w:cs="Times New Roman"/>
          <w:sz w:val="30"/>
          <w:szCs w:val="30"/>
          <w:lang w:val="zh-CN"/>
        </w:rPr>
        <w:t>政府采购优先选择绿色产品，探索制定有利于绿色采购的规章制度，增加对绿色采购的财政支持，科学制定绿色消费产品采购指南，对政府采购人员实施绿色采购教育培训，鼓励支持农牧区节能环保产品消费，严格执行能效标识和节能产品认证制度，引导消费者购买高效节能环保产品。同时积极开展节能环保等绿色产品认证工作，洛隆县有特色农产品虫草、藏药以及农牧产品，开展有机、绿色、无公害农产品认证和推广工作，加快带动洛隆县绿色环保产业有序发展，推动产业升级和发展方式的转变，促进节能减排和民生改善。</w:t>
      </w:r>
    </w:p>
    <w:p w14:paraId="7C57B6FB">
      <w:pPr>
        <w:adjustRightInd w:val="0"/>
        <w:snapToGrid w:val="0"/>
        <w:spacing w:line="500" w:lineRule="exact"/>
        <w:ind w:firstLine="600" w:firstLineChars="200"/>
        <w:rPr>
          <w:rFonts w:ascii="Times New Roman" w:hAnsi="Times New Roman" w:eastAsia="仿宋_GB2312" w:cs="Times New Roman"/>
          <w:sz w:val="30"/>
          <w:szCs w:val="30"/>
          <w:lang w:val="zh-CN"/>
        </w:rPr>
      </w:pPr>
    </w:p>
    <w:p w14:paraId="4C13B145">
      <w:pPr>
        <w:adjustRightInd w:val="0"/>
        <w:snapToGrid w:val="0"/>
        <w:spacing w:line="500" w:lineRule="exact"/>
        <w:ind w:firstLine="600" w:firstLineChars="200"/>
        <w:jc w:val="center"/>
        <w:rPr>
          <w:rFonts w:ascii="方正小标宋简体" w:hAnsi="Times New Roman" w:eastAsia="方正小标宋简体" w:cs="Times New Roman"/>
          <w:sz w:val="36"/>
          <w:szCs w:val="36"/>
        </w:rPr>
      </w:pPr>
      <w:r>
        <w:rPr>
          <w:rFonts w:hint="eastAsia" w:ascii="Times New Roman" w:hAnsi="Times New Roman" w:eastAsia="仿宋_GB2312" w:cs="Times New Roman"/>
          <w:sz w:val="30"/>
          <w:szCs w:val="30"/>
          <w:lang w:val="zh-CN"/>
        </w:rPr>
        <w:br w:type="page"/>
      </w:r>
      <w:bookmarkEnd w:id="240"/>
      <w:bookmarkEnd w:id="241"/>
      <w:bookmarkEnd w:id="242"/>
      <w:bookmarkStart w:id="265" w:name="_Toc26951"/>
      <w:bookmarkStart w:id="266" w:name="_Toc11381"/>
      <w:r>
        <w:rPr>
          <w:rFonts w:ascii="方正小标宋简体" w:hAnsi="Times New Roman" w:eastAsia="方正小标宋简体" w:cs="Times New Roman"/>
          <w:sz w:val="36"/>
          <w:szCs w:val="36"/>
        </w:rPr>
        <w:t>第九章 重点工程</w:t>
      </w:r>
      <w:bookmarkEnd w:id="222"/>
      <w:bookmarkEnd w:id="223"/>
      <w:bookmarkEnd w:id="265"/>
      <w:bookmarkEnd w:id="266"/>
      <w:r>
        <w:rPr>
          <w:rFonts w:hint="eastAsia" w:ascii="方正小标宋简体" w:hAnsi="Times New Roman" w:eastAsia="方正小标宋简体" w:cs="Times New Roman"/>
          <w:sz w:val="36"/>
          <w:szCs w:val="36"/>
        </w:rPr>
        <w:t>与效益分析</w:t>
      </w:r>
    </w:p>
    <w:p w14:paraId="2A848819">
      <w:pPr>
        <w:spacing w:line="580" w:lineRule="exact"/>
        <w:jc w:val="center"/>
        <w:outlineLvl w:val="1"/>
        <w:rPr>
          <w:rFonts w:ascii="Times New Roman" w:hAnsi="Times New Roman" w:eastAsia="黑体" w:cs="Times New Roman"/>
          <w:bCs/>
          <w:sz w:val="32"/>
          <w:szCs w:val="32"/>
          <w:lang w:val="zh-CN"/>
        </w:rPr>
      </w:pPr>
      <w:r>
        <w:rPr>
          <w:rFonts w:ascii="Times New Roman" w:hAnsi="Times New Roman" w:eastAsia="黑体" w:cs="Times New Roman"/>
          <w:bCs/>
          <w:sz w:val="32"/>
          <w:szCs w:val="32"/>
        </w:rPr>
        <w:t>第</w:t>
      </w:r>
      <w:r>
        <w:rPr>
          <w:rFonts w:hint="eastAsia" w:ascii="Times New Roman" w:hAnsi="Times New Roman" w:eastAsia="黑体" w:cs="Times New Roman"/>
          <w:bCs/>
          <w:sz w:val="32"/>
          <w:szCs w:val="32"/>
        </w:rPr>
        <w:t>一</w:t>
      </w:r>
      <w:r>
        <w:rPr>
          <w:rFonts w:ascii="Times New Roman" w:hAnsi="Times New Roman" w:eastAsia="黑体" w:cs="Times New Roman"/>
          <w:bCs/>
          <w:sz w:val="32"/>
          <w:szCs w:val="32"/>
        </w:rPr>
        <w:t xml:space="preserve">节 </w:t>
      </w:r>
      <w:r>
        <w:rPr>
          <w:rFonts w:hint="eastAsia" w:ascii="Times New Roman" w:hAnsi="Times New Roman" w:eastAsia="黑体" w:cs="Times New Roman"/>
          <w:bCs/>
          <w:sz w:val="32"/>
          <w:szCs w:val="32"/>
        </w:rPr>
        <w:t xml:space="preserve"> 重点工程</w:t>
      </w:r>
      <w:r>
        <w:rPr>
          <w:rFonts w:ascii="Times New Roman" w:hAnsi="Times New Roman" w:eastAsia="黑体" w:cs="Times New Roman"/>
          <w:bCs/>
          <w:sz w:val="32"/>
          <w:szCs w:val="32"/>
        </w:rPr>
        <w:t xml:space="preserve"> </w:t>
      </w:r>
    </w:p>
    <w:p w14:paraId="3965ED5E">
      <w:pPr>
        <w:adjustRightInd w:val="0"/>
        <w:snapToGrid w:val="0"/>
        <w:spacing w:line="500" w:lineRule="exact"/>
        <w:ind w:firstLine="600" w:firstLineChars="200"/>
        <w:rPr>
          <w:rFonts w:ascii="Times New Roman" w:hAnsi="Times New Roman" w:eastAsia="仿宋_GB2312" w:cs="Times New Roman"/>
          <w:sz w:val="30"/>
          <w:szCs w:val="30"/>
          <w:lang w:val="zh-CN"/>
        </w:rPr>
      </w:pPr>
      <w:r>
        <w:rPr>
          <w:rFonts w:hint="eastAsia" w:ascii="Times New Roman" w:hAnsi="Times New Roman" w:eastAsia="仿宋_GB2312" w:cs="Times New Roman"/>
          <w:sz w:val="30"/>
          <w:szCs w:val="30"/>
          <w:lang w:val="zh-CN"/>
        </w:rPr>
        <w:t>根据洛隆县自治区生态文明建设示范县指标体系框架、规划目标和重点领域，结合洛隆县近期及“十四五”规划实施的重大项目，以规划近期为重点，提出生态文明建设示范县建设的六大重点工程。规划在2022-2030年期间，实施自治区生态文明建设示范县建设重点工程项目</w:t>
      </w:r>
      <w:r>
        <w:rPr>
          <w:rFonts w:hint="eastAsia" w:ascii="Times New Roman" w:hAnsi="Times New Roman" w:eastAsia="仿宋_GB2312" w:cs="Times New Roman"/>
          <w:sz w:val="30"/>
          <w:szCs w:val="30"/>
        </w:rPr>
        <w:t>92</w:t>
      </w:r>
      <w:r>
        <w:rPr>
          <w:rFonts w:hint="eastAsia" w:ascii="Times New Roman" w:hAnsi="Times New Roman" w:eastAsia="仿宋_GB2312" w:cs="Times New Roman"/>
          <w:sz w:val="30"/>
          <w:szCs w:val="30"/>
          <w:lang w:val="zh-CN"/>
        </w:rPr>
        <w:t>项，估算总投资</w:t>
      </w:r>
      <w:r>
        <w:rPr>
          <w:rFonts w:hint="eastAsia" w:ascii="Times New Roman" w:hAnsi="Times New Roman" w:eastAsia="仿宋_GB2312" w:cs="Times New Roman"/>
          <w:sz w:val="30"/>
          <w:szCs w:val="30"/>
        </w:rPr>
        <w:t>35.65</w:t>
      </w:r>
      <w:r>
        <w:rPr>
          <w:rFonts w:hint="eastAsia" w:ascii="Times New Roman" w:hAnsi="Times New Roman" w:eastAsia="仿宋_GB2312" w:cs="Times New Roman"/>
          <w:sz w:val="30"/>
          <w:szCs w:val="30"/>
          <w:lang w:val="zh-CN"/>
        </w:rPr>
        <w:t>亿元。</w:t>
      </w:r>
    </w:p>
    <w:p w14:paraId="164FF12A">
      <w:pPr>
        <w:spacing w:line="360" w:lineRule="auto"/>
        <w:ind w:firstLine="560" w:firstLineChars="200"/>
        <w:jc w:val="center"/>
        <w:rPr>
          <w:rFonts w:ascii="黑体" w:hAnsi="黑体" w:eastAsia="黑体" w:cs="Times New Roman"/>
          <w:sz w:val="28"/>
          <w:szCs w:val="28"/>
        </w:rPr>
      </w:pPr>
      <w:r>
        <w:rPr>
          <w:rFonts w:ascii="黑体" w:hAnsi="黑体" w:eastAsia="黑体" w:cs="Times New Roman"/>
          <w:sz w:val="28"/>
          <w:szCs w:val="28"/>
        </w:rPr>
        <w:t>表9-1 生态文明建设规划重点工程投资概算表</w:t>
      </w:r>
    </w:p>
    <w:tbl>
      <w:tblPr>
        <w:tblStyle w:val="42"/>
        <w:tblW w:w="0" w:type="auto"/>
        <w:jc w:val="center"/>
        <w:tblLayout w:type="fixed"/>
        <w:tblCellMar>
          <w:top w:w="0" w:type="dxa"/>
          <w:left w:w="108" w:type="dxa"/>
          <w:bottom w:w="0" w:type="dxa"/>
          <w:right w:w="108" w:type="dxa"/>
        </w:tblCellMar>
      </w:tblPr>
      <w:tblGrid>
        <w:gridCol w:w="1399"/>
        <w:gridCol w:w="2142"/>
        <w:gridCol w:w="1708"/>
        <w:gridCol w:w="2210"/>
      </w:tblGrid>
      <w:tr w14:paraId="35FCF70E">
        <w:tblPrEx>
          <w:tblCellMar>
            <w:top w:w="0" w:type="dxa"/>
            <w:left w:w="108" w:type="dxa"/>
            <w:bottom w:w="0" w:type="dxa"/>
            <w:right w:w="108" w:type="dxa"/>
          </w:tblCellMar>
        </w:tblPrEx>
        <w:trPr>
          <w:trHeight w:val="682" w:hRule="atLeast"/>
          <w:jc w:val="center"/>
        </w:trPr>
        <w:tc>
          <w:tcPr>
            <w:tcW w:w="1399" w:type="dxa"/>
            <w:tcBorders>
              <w:top w:val="single" w:color="auto" w:sz="4" w:space="0"/>
              <w:left w:val="single" w:color="auto" w:sz="4" w:space="0"/>
              <w:bottom w:val="single" w:color="auto" w:sz="4" w:space="0"/>
              <w:right w:val="single" w:color="auto" w:sz="4" w:space="0"/>
            </w:tcBorders>
            <w:vAlign w:val="center"/>
          </w:tcPr>
          <w:p w14:paraId="13E38CB6">
            <w:pPr>
              <w:jc w:val="center"/>
              <w:rPr>
                <w:rFonts w:ascii="宋体" w:hAnsi="宋体" w:eastAsia="宋体"/>
                <w:b/>
                <w:bCs/>
                <w:kern w:val="0"/>
                <w:sz w:val="24"/>
                <w:szCs w:val="24"/>
              </w:rPr>
            </w:pPr>
            <w:bookmarkStart w:id="267" w:name="_Hlk56423285"/>
            <w:r>
              <w:rPr>
                <w:rFonts w:hint="eastAsia" w:ascii="宋体" w:hAnsi="宋体" w:eastAsia="宋体"/>
                <w:b/>
                <w:bCs/>
                <w:kern w:val="0"/>
                <w:sz w:val="24"/>
                <w:szCs w:val="24"/>
              </w:rPr>
              <w:t>序号</w:t>
            </w:r>
          </w:p>
        </w:tc>
        <w:tc>
          <w:tcPr>
            <w:tcW w:w="2142" w:type="dxa"/>
            <w:tcBorders>
              <w:top w:val="single" w:color="auto" w:sz="4" w:space="0"/>
              <w:left w:val="nil"/>
              <w:bottom w:val="single" w:color="auto" w:sz="4" w:space="0"/>
              <w:right w:val="single" w:color="auto" w:sz="4" w:space="0"/>
            </w:tcBorders>
            <w:vAlign w:val="center"/>
          </w:tcPr>
          <w:p w14:paraId="1B99DB4A">
            <w:pPr>
              <w:jc w:val="center"/>
              <w:rPr>
                <w:rFonts w:ascii="宋体" w:hAnsi="宋体" w:eastAsia="宋体"/>
                <w:b/>
                <w:bCs/>
                <w:kern w:val="0"/>
                <w:sz w:val="24"/>
                <w:szCs w:val="24"/>
              </w:rPr>
            </w:pPr>
            <w:r>
              <w:rPr>
                <w:rFonts w:hint="eastAsia" w:ascii="宋体" w:hAnsi="宋体" w:eastAsia="宋体"/>
                <w:b/>
                <w:bCs/>
                <w:kern w:val="0"/>
                <w:sz w:val="24"/>
                <w:szCs w:val="24"/>
              </w:rPr>
              <w:t>项目类别</w:t>
            </w:r>
          </w:p>
        </w:tc>
        <w:tc>
          <w:tcPr>
            <w:tcW w:w="1708" w:type="dxa"/>
            <w:tcBorders>
              <w:top w:val="single" w:color="auto" w:sz="4" w:space="0"/>
              <w:left w:val="nil"/>
              <w:bottom w:val="single" w:color="auto" w:sz="4" w:space="0"/>
              <w:right w:val="single" w:color="auto" w:sz="4" w:space="0"/>
            </w:tcBorders>
            <w:vAlign w:val="center"/>
          </w:tcPr>
          <w:p w14:paraId="787E700F">
            <w:pPr>
              <w:jc w:val="center"/>
              <w:rPr>
                <w:rFonts w:ascii="宋体" w:hAnsi="宋体" w:eastAsia="宋体"/>
                <w:b/>
                <w:bCs/>
                <w:kern w:val="0"/>
                <w:sz w:val="24"/>
                <w:szCs w:val="24"/>
              </w:rPr>
            </w:pPr>
            <w:r>
              <w:rPr>
                <w:rFonts w:hint="eastAsia" w:ascii="宋体" w:hAnsi="宋体" w:eastAsia="宋体"/>
                <w:b/>
                <w:bCs/>
                <w:kern w:val="0"/>
                <w:sz w:val="24"/>
                <w:szCs w:val="24"/>
              </w:rPr>
              <w:t>子项目个数</w:t>
            </w:r>
          </w:p>
        </w:tc>
        <w:tc>
          <w:tcPr>
            <w:tcW w:w="2210" w:type="dxa"/>
            <w:tcBorders>
              <w:top w:val="single" w:color="auto" w:sz="4" w:space="0"/>
              <w:left w:val="nil"/>
              <w:bottom w:val="single" w:color="auto" w:sz="4" w:space="0"/>
              <w:right w:val="single" w:color="auto" w:sz="4" w:space="0"/>
            </w:tcBorders>
            <w:vAlign w:val="center"/>
          </w:tcPr>
          <w:p w14:paraId="259DE8E9">
            <w:pPr>
              <w:jc w:val="center"/>
              <w:rPr>
                <w:rFonts w:ascii="宋体" w:hAnsi="宋体" w:eastAsia="宋体"/>
                <w:b/>
                <w:bCs/>
                <w:kern w:val="0"/>
                <w:sz w:val="24"/>
                <w:szCs w:val="24"/>
              </w:rPr>
            </w:pPr>
            <w:r>
              <w:rPr>
                <w:rFonts w:hint="eastAsia" w:ascii="宋体" w:hAnsi="宋体" w:eastAsia="宋体"/>
                <w:b/>
                <w:bCs/>
                <w:kern w:val="0"/>
                <w:sz w:val="24"/>
                <w:szCs w:val="24"/>
              </w:rPr>
              <w:t>总投资（万元）</w:t>
            </w:r>
          </w:p>
        </w:tc>
      </w:tr>
      <w:tr w14:paraId="43D4D490">
        <w:tblPrEx>
          <w:tblCellMar>
            <w:top w:w="0" w:type="dxa"/>
            <w:left w:w="108" w:type="dxa"/>
            <w:bottom w:w="0" w:type="dxa"/>
            <w:right w:w="108" w:type="dxa"/>
          </w:tblCellMar>
        </w:tblPrEx>
        <w:trPr>
          <w:trHeight w:val="356" w:hRule="atLeast"/>
          <w:jc w:val="center"/>
        </w:trPr>
        <w:tc>
          <w:tcPr>
            <w:tcW w:w="1399" w:type="dxa"/>
            <w:tcBorders>
              <w:top w:val="nil"/>
              <w:left w:val="single" w:color="auto" w:sz="4" w:space="0"/>
              <w:bottom w:val="single" w:color="auto" w:sz="4" w:space="0"/>
              <w:right w:val="single" w:color="auto" w:sz="4" w:space="0"/>
            </w:tcBorders>
            <w:vAlign w:val="center"/>
          </w:tcPr>
          <w:p w14:paraId="449EA7B5">
            <w:pPr>
              <w:jc w:val="center"/>
              <w:rPr>
                <w:rFonts w:ascii="宋体" w:hAnsi="宋体" w:eastAsia="宋体"/>
                <w:kern w:val="0"/>
                <w:sz w:val="24"/>
                <w:szCs w:val="24"/>
              </w:rPr>
            </w:pPr>
            <w:r>
              <w:rPr>
                <w:rFonts w:hint="eastAsia" w:ascii="宋体" w:hAnsi="宋体" w:eastAsia="宋体"/>
                <w:kern w:val="0"/>
                <w:sz w:val="24"/>
                <w:szCs w:val="24"/>
              </w:rPr>
              <w:t>一</w:t>
            </w:r>
          </w:p>
        </w:tc>
        <w:tc>
          <w:tcPr>
            <w:tcW w:w="2142" w:type="dxa"/>
            <w:tcBorders>
              <w:top w:val="nil"/>
              <w:left w:val="nil"/>
              <w:bottom w:val="single" w:color="auto" w:sz="4" w:space="0"/>
              <w:right w:val="single" w:color="auto" w:sz="4" w:space="0"/>
            </w:tcBorders>
            <w:vAlign w:val="center"/>
          </w:tcPr>
          <w:p w14:paraId="15949982">
            <w:pPr>
              <w:jc w:val="center"/>
              <w:rPr>
                <w:rFonts w:ascii="宋体" w:hAnsi="宋体" w:eastAsia="宋体"/>
                <w:kern w:val="0"/>
                <w:sz w:val="24"/>
                <w:szCs w:val="24"/>
              </w:rPr>
            </w:pPr>
            <w:r>
              <w:rPr>
                <w:rFonts w:hint="eastAsia" w:ascii="宋体" w:hAnsi="宋体" w:eastAsia="宋体"/>
                <w:kern w:val="0"/>
                <w:sz w:val="24"/>
                <w:szCs w:val="24"/>
              </w:rPr>
              <w:t>生态制度</w:t>
            </w:r>
          </w:p>
        </w:tc>
        <w:tc>
          <w:tcPr>
            <w:tcW w:w="1708" w:type="dxa"/>
            <w:tcBorders>
              <w:top w:val="nil"/>
              <w:left w:val="nil"/>
              <w:bottom w:val="single" w:color="auto" w:sz="4" w:space="0"/>
              <w:right w:val="single" w:color="auto" w:sz="4" w:space="0"/>
            </w:tcBorders>
            <w:vAlign w:val="center"/>
          </w:tcPr>
          <w:p w14:paraId="00D1C009">
            <w:pPr>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w:t>
            </w:r>
          </w:p>
        </w:tc>
        <w:tc>
          <w:tcPr>
            <w:tcW w:w="2210" w:type="dxa"/>
            <w:tcBorders>
              <w:top w:val="nil"/>
              <w:left w:val="nil"/>
              <w:bottom w:val="single" w:color="auto" w:sz="4" w:space="0"/>
              <w:right w:val="single" w:color="auto" w:sz="4" w:space="0"/>
            </w:tcBorders>
            <w:vAlign w:val="center"/>
          </w:tcPr>
          <w:p w14:paraId="09C0C867">
            <w:pPr>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350</w:t>
            </w:r>
          </w:p>
        </w:tc>
      </w:tr>
      <w:tr w14:paraId="31A0F92F">
        <w:tblPrEx>
          <w:tblCellMar>
            <w:top w:w="0" w:type="dxa"/>
            <w:left w:w="108" w:type="dxa"/>
            <w:bottom w:w="0" w:type="dxa"/>
            <w:right w:w="108" w:type="dxa"/>
          </w:tblCellMar>
        </w:tblPrEx>
        <w:trPr>
          <w:trHeight w:val="356" w:hRule="atLeast"/>
          <w:jc w:val="center"/>
        </w:trPr>
        <w:tc>
          <w:tcPr>
            <w:tcW w:w="1399" w:type="dxa"/>
            <w:tcBorders>
              <w:top w:val="nil"/>
              <w:left w:val="single" w:color="auto" w:sz="4" w:space="0"/>
              <w:bottom w:val="single" w:color="auto" w:sz="4" w:space="0"/>
              <w:right w:val="single" w:color="auto" w:sz="4" w:space="0"/>
            </w:tcBorders>
            <w:vAlign w:val="center"/>
          </w:tcPr>
          <w:p w14:paraId="56EB5FAE">
            <w:pPr>
              <w:jc w:val="center"/>
              <w:rPr>
                <w:rFonts w:ascii="宋体" w:hAnsi="宋体" w:eastAsia="宋体"/>
                <w:kern w:val="0"/>
                <w:sz w:val="24"/>
                <w:szCs w:val="24"/>
              </w:rPr>
            </w:pPr>
            <w:r>
              <w:rPr>
                <w:rFonts w:hint="eastAsia" w:ascii="宋体" w:hAnsi="宋体" w:eastAsia="宋体"/>
                <w:kern w:val="0"/>
                <w:sz w:val="24"/>
                <w:szCs w:val="24"/>
              </w:rPr>
              <w:t>二</w:t>
            </w:r>
          </w:p>
        </w:tc>
        <w:tc>
          <w:tcPr>
            <w:tcW w:w="2142" w:type="dxa"/>
            <w:tcBorders>
              <w:top w:val="nil"/>
              <w:left w:val="nil"/>
              <w:bottom w:val="single" w:color="auto" w:sz="4" w:space="0"/>
              <w:right w:val="single" w:color="auto" w:sz="4" w:space="0"/>
            </w:tcBorders>
            <w:vAlign w:val="center"/>
          </w:tcPr>
          <w:p w14:paraId="1EC283C2">
            <w:pPr>
              <w:jc w:val="center"/>
              <w:rPr>
                <w:rFonts w:ascii="宋体" w:hAnsi="宋体" w:eastAsia="宋体"/>
                <w:kern w:val="0"/>
                <w:sz w:val="24"/>
                <w:szCs w:val="24"/>
              </w:rPr>
            </w:pPr>
            <w:r>
              <w:rPr>
                <w:rFonts w:hint="eastAsia" w:ascii="宋体" w:hAnsi="宋体" w:eastAsia="宋体"/>
                <w:kern w:val="0"/>
                <w:sz w:val="24"/>
                <w:szCs w:val="24"/>
              </w:rPr>
              <w:t>生态环境</w:t>
            </w:r>
          </w:p>
        </w:tc>
        <w:tc>
          <w:tcPr>
            <w:tcW w:w="1708" w:type="dxa"/>
            <w:tcBorders>
              <w:top w:val="nil"/>
              <w:left w:val="nil"/>
              <w:bottom w:val="single" w:color="auto" w:sz="4" w:space="0"/>
              <w:right w:val="single" w:color="auto" w:sz="4" w:space="0"/>
            </w:tcBorders>
            <w:vAlign w:val="center"/>
          </w:tcPr>
          <w:p w14:paraId="27457262">
            <w:pPr>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24</w:t>
            </w:r>
          </w:p>
        </w:tc>
        <w:tc>
          <w:tcPr>
            <w:tcW w:w="2210" w:type="dxa"/>
            <w:tcBorders>
              <w:top w:val="nil"/>
              <w:left w:val="nil"/>
              <w:bottom w:val="single" w:color="auto" w:sz="4" w:space="0"/>
              <w:right w:val="single" w:color="auto" w:sz="4" w:space="0"/>
            </w:tcBorders>
            <w:vAlign w:val="center"/>
          </w:tcPr>
          <w:p w14:paraId="2E41E954">
            <w:pPr>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51949</w:t>
            </w:r>
          </w:p>
        </w:tc>
      </w:tr>
      <w:tr w14:paraId="63D3496D">
        <w:tblPrEx>
          <w:tblCellMar>
            <w:top w:w="0" w:type="dxa"/>
            <w:left w:w="108" w:type="dxa"/>
            <w:bottom w:w="0" w:type="dxa"/>
            <w:right w:w="108" w:type="dxa"/>
          </w:tblCellMar>
        </w:tblPrEx>
        <w:trPr>
          <w:trHeight w:val="356" w:hRule="atLeast"/>
          <w:jc w:val="center"/>
        </w:trPr>
        <w:tc>
          <w:tcPr>
            <w:tcW w:w="1399" w:type="dxa"/>
            <w:tcBorders>
              <w:top w:val="nil"/>
              <w:left w:val="single" w:color="auto" w:sz="4" w:space="0"/>
              <w:bottom w:val="single" w:color="auto" w:sz="4" w:space="0"/>
              <w:right w:val="single" w:color="auto" w:sz="4" w:space="0"/>
            </w:tcBorders>
            <w:vAlign w:val="center"/>
          </w:tcPr>
          <w:p w14:paraId="0784465C">
            <w:pPr>
              <w:jc w:val="center"/>
              <w:rPr>
                <w:rFonts w:ascii="宋体" w:hAnsi="宋体" w:eastAsia="宋体"/>
                <w:kern w:val="0"/>
                <w:sz w:val="24"/>
                <w:szCs w:val="24"/>
              </w:rPr>
            </w:pPr>
            <w:r>
              <w:rPr>
                <w:rFonts w:hint="eastAsia" w:ascii="宋体" w:hAnsi="宋体" w:eastAsia="宋体"/>
                <w:kern w:val="0"/>
                <w:sz w:val="24"/>
                <w:szCs w:val="24"/>
              </w:rPr>
              <w:t>三</w:t>
            </w:r>
          </w:p>
        </w:tc>
        <w:tc>
          <w:tcPr>
            <w:tcW w:w="2142" w:type="dxa"/>
            <w:tcBorders>
              <w:top w:val="nil"/>
              <w:left w:val="nil"/>
              <w:bottom w:val="single" w:color="auto" w:sz="4" w:space="0"/>
              <w:right w:val="single" w:color="auto" w:sz="4" w:space="0"/>
            </w:tcBorders>
            <w:vAlign w:val="center"/>
          </w:tcPr>
          <w:p w14:paraId="788BF96E">
            <w:pPr>
              <w:jc w:val="center"/>
              <w:rPr>
                <w:rFonts w:ascii="宋体" w:hAnsi="宋体" w:eastAsia="宋体"/>
                <w:kern w:val="0"/>
                <w:sz w:val="24"/>
                <w:szCs w:val="24"/>
              </w:rPr>
            </w:pPr>
            <w:r>
              <w:rPr>
                <w:rFonts w:hint="eastAsia" w:ascii="宋体" w:hAnsi="宋体" w:eastAsia="宋体"/>
                <w:kern w:val="0"/>
                <w:sz w:val="24"/>
                <w:szCs w:val="24"/>
              </w:rPr>
              <w:t>生态空间</w:t>
            </w:r>
          </w:p>
        </w:tc>
        <w:tc>
          <w:tcPr>
            <w:tcW w:w="1708" w:type="dxa"/>
            <w:tcBorders>
              <w:top w:val="nil"/>
              <w:left w:val="nil"/>
              <w:bottom w:val="single" w:color="auto" w:sz="4" w:space="0"/>
              <w:right w:val="single" w:color="auto" w:sz="4" w:space="0"/>
            </w:tcBorders>
            <w:vAlign w:val="center"/>
          </w:tcPr>
          <w:p w14:paraId="2CECF224">
            <w:pPr>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w:t>
            </w:r>
          </w:p>
        </w:tc>
        <w:tc>
          <w:tcPr>
            <w:tcW w:w="2210" w:type="dxa"/>
            <w:tcBorders>
              <w:top w:val="nil"/>
              <w:left w:val="nil"/>
              <w:bottom w:val="single" w:color="auto" w:sz="4" w:space="0"/>
              <w:right w:val="single" w:color="auto" w:sz="4" w:space="0"/>
            </w:tcBorders>
            <w:vAlign w:val="center"/>
          </w:tcPr>
          <w:p w14:paraId="19120840">
            <w:pPr>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2100</w:t>
            </w:r>
          </w:p>
        </w:tc>
      </w:tr>
      <w:tr w14:paraId="4697B3DA">
        <w:tblPrEx>
          <w:tblCellMar>
            <w:top w:w="0" w:type="dxa"/>
            <w:left w:w="108" w:type="dxa"/>
            <w:bottom w:w="0" w:type="dxa"/>
            <w:right w:w="108" w:type="dxa"/>
          </w:tblCellMar>
        </w:tblPrEx>
        <w:trPr>
          <w:trHeight w:val="341" w:hRule="atLeast"/>
          <w:jc w:val="center"/>
        </w:trPr>
        <w:tc>
          <w:tcPr>
            <w:tcW w:w="1399" w:type="dxa"/>
            <w:tcBorders>
              <w:top w:val="nil"/>
              <w:left w:val="single" w:color="auto" w:sz="4" w:space="0"/>
              <w:bottom w:val="single" w:color="auto" w:sz="4" w:space="0"/>
              <w:right w:val="single" w:color="auto" w:sz="4" w:space="0"/>
            </w:tcBorders>
            <w:vAlign w:val="center"/>
          </w:tcPr>
          <w:p w14:paraId="3BB4D40F">
            <w:pPr>
              <w:jc w:val="center"/>
              <w:rPr>
                <w:rFonts w:ascii="宋体" w:hAnsi="宋体" w:eastAsia="宋体"/>
                <w:kern w:val="0"/>
                <w:sz w:val="24"/>
                <w:szCs w:val="24"/>
              </w:rPr>
            </w:pPr>
            <w:r>
              <w:rPr>
                <w:rFonts w:hint="eastAsia" w:ascii="宋体" w:hAnsi="宋体" w:eastAsia="宋体"/>
                <w:kern w:val="0"/>
                <w:sz w:val="24"/>
                <w:szCs w:val="24"/>
              </w:rPr>
              <w:t>四</w:t>
            </w:r>
          </w:p>
        </w:tc>
        <w:tc>
          <w:tcPr>
            <w:tcW w:w="2142" w:type="dxa"/>
            <w:tcBorders>
              <w:top w:val="nil"/>
              <w:left w:val="nil"/>
              <w:bottom w:val="single" w:color="auto" w:sz="4" w:space="0"/>
              <w:right w:val="single" w:color="auto" w:sz="4" w:space="0"/>
            </w:tcBorders>
            <w:vAlign w:val="center"/>
          </w:tcPr>
          <w:p w14:paraId="233807C9">
            <w:pPr>
              <w:jc w:val="center"/>
              <w:rPr>
                <w:rFonts w:ascii="宋体" w:hAnsi="宋体" w:eastAsia="宋体"/>
                <w:kern w:val="0"/>
                <w:sz w:val="24"/>
                <w:szCs w:val="24"/>
              </w:rPr>
            </w:pPr>
            <w:r>
              <w:rPr>
                <w:rFonts w:hint="eastAsia" w:ascii="宋体" w:hAnsi="宋体" w:eastAsia="宋体"/>
                <w:kern w:val="0"/>
                <w:sz w:val="24"/>
                <w:szCs w:val="24"/>
              </w:rPr>
              <w:t>生态经济</w:t>
            </w:r>
          </w:p>
        </w:tc>
        <w:tc>
          <w:tcPr>
            <w:tcW w:w="1708" w:type="dxa"/>
            <w:tcBorders>
              <w:top w:val="nil"/>
              <w:left w:val="nil"/>
              <w:bottom w:val="single" w:color="auto" w:sz="4" w:space="0"/>
              <w:right w:val="single" w:color="auto" w:sz="4" w:space="0"/>
            </w:tcBorders>
            <w:vAlign w:val="center"/>
          </w:tcPr>
          <w:p w14:paraId="378F76AC">
            <w:pPr>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32</w:t>
            </w:r>
          </w:p>
        </w:tc>
        <w:tc>
          <w:tcPr>
            <w:tcW w:w="2210" w:type="dxa"/>
            <w:tcBorders>
              <w:top w:val="nil"/>
              <w:left w:val="nil"/>
              <w:bottom w:val="single" w:color="auto" w:sz="4" w:space="0"/>
              <w:right w:val="single" w:color="auto" w:sz="4" w:space="0"/>
            </w:tcBorders>
            <w:vAlign w:val="center"/>
          </w:tcPr>
          <w:p w14:paraId="15C8775C">
            <w:pPr>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lang w:bidi="ar"/>
              </w:rPr>
              <w:t>178479</w:t>
            </w:r>
          </w:p>
        </w:tc>
      </w:tr>
      <w:tr w14:paraId="419FFFFD">
        <w:tblPrEx>
          <w:tblCellMar>
            <w:top w:w="0" w:type="dxa"/>
            <w:left w:w="108" w:type="dxa"/>
            <w:bottom w:w="0" w:type="dxa"/>
            <w:right w:w="108" w:type="dxa"/>
          </w:tblCellMar>
        </w:tblPrEx>
        <w:trPr>
          <w:trHeight w:val="216" w:hRule="atLeast"/>
          <w:jc w:val="center"/>
        </w:trPr>
        <w:tc>
          <w:tcPr>
            <w:tcW w:w="1399" w:type="dxa"/>
            <w:tcBorders>
              <w:top w:val="nil"/>
              <w:left w:val="single" w:color="auto" w:sz="4" w:space="0"/>
              <w:bottom w:val="single" w:color="auto" w:sz="4" w:space="0"/>
              <w:right w:val="single" w:color="auto" w:sz="4" w:space="0"/>
            </w:tcBorders>
            <w:vAlign w:val="center"/>
          </w:tcPr>
          <w:p w14:paraId="44DB8B36">
            <w:pPr>
              <w:jc w:val="center"/>
              <w:rPr>
                <w:rFonts w:ascii="宋体" w:hAnsi="宋体" w:eastAsia="宋体"/>
                <w:kern w:val="0"/>
                <w:sz w:val="24"/>
                <w:szCs w:val="24"/>
              </w:rPr>
            </w:pPr>
            <w:r>
              <w:rPr>
                <w:rFonts w:hint="eastAsia" w:ascii="宋体" w:hAnsi="宋体" w:eastAsia="宋体"/>
                <w:kern w:val="0"/>
                <w:sz w:val="24"/>
                <w:szCs w:val="24"/>
              </w:rPr>
              <w:t>五</w:t>
            </w:r>
          </w:p>
        </w:tc>
        <w:tc>
          <w:tcPr>
            <w:tcW w:w="2142" w:type="dxa"/>
            <w:tcBorders>
              <w:top w:val="nil"/>
              <w:left w:val="nil"/>
              <w:bottom w:val="single" w:color="auto" w:sz="4" w:space="0"/>
              <w:right w:val="single" w:color="auto" w:sz="4" w:space="0"/>
            </w:tcBorders>
            <w:vAlign w:val="center"/>
          </w:tcPr>
          <w:p w14:paraId="3578685D">
            <w:pPr>
              <w:jc w:val="center"/>
              <w:rPr>
                <w:rFonts w:ascii="宋体" w:hAnsi="宋体" w:eastAsia="宋体"/>
                <w:kern w:val="0"/>
                <w:sz w:val="24"/>
                <w:szCs w:val="24"/>
              </w:rPr>
            </w:pPr>
            <w:r>
              <w:rPr>
                <w:rFonts w:hint="eastAsia" w:ascii="宋体" w:hAnsi="宋体" w:eastAsia="宋体"/>
                <w:kern w:val="0"/>
                <w:sz w:val="24"/>
                <w:szCs w:val="24"/>
              </w:rPr>
              <w:t>生态生活</w:t>
            </w:r>
          </w:p>
        </w:tc>
        <w:tc>
          <w:tcPr>
            <w:tcW w:w="1708" w:type="dxa"/>
            <w:tcBorders>
              <w:top w:val="nil"/>
              <w:left w:val="nil"/>
              <w:bottom w:val="single" w:color="auto" w:sz="4" w:space="0"/>
              <w:right w:val="single" w:color="auto" w:sz="4" w:space="0"/>
            </w:tcBorders>
            <w:vAlign w:val="center"/>
          </w:tcPr>
          <w:p w14:paraId="67489824">
            <w:pPr>
              <w:jc w:val="center"/>
              <w:rPr>
                <w:rFonts w:ascii="Times New Roman" w:hAnsi="Times New Roman" w:eastAsia="宋体" w:cs="Times New Roman"/>
                <w:kern w:val="0"/>
                <w:sz w:val="24"/>
                <w:szCs w:val="24"/>
                <w:lang w:bidi="ar"/>
              </w:rPr>
            </w:pPr>
            <w:r>
              <w:rPr>
                <w:rFonts w:ascii="Times New Roman" w:hAnsi="Times New Roman" w:eastAsia="宋体" w:cs="Times New Roman"/>
                <w:kern w:val="0"/>
                <w:sz w:val="24"/>
                <w:szCs w:val="24"/>
                <w:lang w:bidi="ar"/>
              </w:rPr>
              <w:t>23</w:t>
            </w:r>
          </w:p>
        </w:tc>
        <w:tc>
          <w:tcPr>
            <w:tcW w:w="2210" w:type="dxa"/>
            <w:tcBorders>
              <w:top w:val="nil"/>
              <w:left w:val="nil"/>
              <w:bottom w:val="single" w:color="auto" w:sz="4" w:space="0"/>
              <w:right w:val="single" w:color="auto" w:sz="4" w:space="0"/>
            </w:tcBorders>
            <w:vAlign w:val="center"/>
          </w:tcPr>
          <w:p w14:paraId="67018D8B">
            <w:pPr>
              <w:jc w:val="center"/>
              <w:rPr>
                <w:rFonts w:ascii="Times New Roman" w:hAnsi="Times New Roman" w:eastAsia="宋体" w:cs="Times New Roman"/>
                <w:kern w:val="0"/>
                <w:sz w:val="24"/>
                <w:szCs w:val="24"/>
                <w:lang w:bidi="ar"/>
              </w:rPr>
            </w:pPr>
            <w:r>
              <w:rPr>
                <w:rFonts w:ascii="Times New Roman" w:hAnsi="Times New Roman" w:eastAsia="宋体" w:cs="Times New Roman"/>
                <w:kern w:val="0"/>
                <w:sz w:val="24"/>
                <w:szCs w:val="24"/>
                <w:lang w:bidi="ar"/>
              </w:rPr>
              <w:t>119680</w:t>
            </w:r>
          </w:p>
        </w:tc>
      </w:tr>
      <w:tr w14:paraId="2A2843D8">
        <w:tblPrEx>
          <w:tblCellMar>
            <w:top w:w="0" w:type="dxa"/>
            <w:left w:w="108" w:type="dxa"/>
            <w:bottom w:w="0" w:type="dxa"/>
            <w:right w:w="108" w:type="dxa"/>
          </w:tblCellMar>
        </w:tblPrEx>
        <w:trPr>
          <w:trHeight w:val="136" w:hRule="atLeast"/>
          <w:jc w:val="center"/>
        </w:trPr>
        <w:tc>
          <w:tcPr>
            <w:tcW w:w="1399" w:type="dxa"/>
            <w:tcBorders>
              <w:top w:val="nil"/>
              <w:left w:val="single" w:color="auto" w:sz="4" w:space="0"/>
              <w:bottom w:val="single" w:color="auto" w:sz="4" w:space="0"/>
              <w:right w:val="single" w:color="auto" w:sz="4" w:space="0"/>
            </w:tcBorders>
            <w:vAlign w:val="center"/>
          </w:tcPr>
          <w:p w14:paraId="322C555E">
            <w:pPr>
              <w:jc w:val="center"/>
              <w:rPr>
                <w:rFonts w:ascii="宋体" w:hAnsi="宋体" w:eastAsia="宋体"/>
                <w:kern w:val="0"/>
                <w:sz w:val="24"/>
                <w:szCs w:val="24"/>
              </w:rPr>
            </w:pPr>
            <w:r>
              <w:rPr>
                <w:rFonts w:hint="eastAsia" w:ascii="宋体" w:hAnsi="宋体" w:eastAsia="宋体"/>
                <w:kern w:val="0"/>
                <w:sz w:val="24"/>
                <w:szCs w:val="24"/>
              </w:rPr>
              <w:t>六</w:t>
            </w:r>
          </w:p>
        </w:tc>
        <w:tc>
          <w:tcPr>
            <w:tcW w:w="2142" w:type="dxa"/>
            <w:tcBorders>
              <w:top w:val="nil"/>
              <w:left w:val="nil"/>
              <w:bottom w:val="single" w:color="auto" w:sz="4" w:space="0"/>
              <w:right w:val="single" w:color="auto" w:sz="4" w:space="0"/>
            </w:tcBorders>
            <w:vAlign w:val="center"/>
          </w:tcPr>
          <w:p w14:paraId="69D3C36C">
            <w:pPr>
              <w:jc w:val="center"/>
              <w:rPr>
                <w:rFonts w:ascii="宋体" w:hAnsi="宋体" w:eastAsia="宋体"/>
                <w:kern w:val="0"/>
                <w:sz w:val="24"/>
                <w:szCs w:val="24"/>
              </w:rPr>
            </w:pPr>
            <w:r>
              <w:rPr>
                <w:rFonts w:hint="eastAsia" w:ascii="宋体" w:hAnsi="宋体" w:eastAsia="宋体"/>
                <w:kern w:val="0"/>
                <w:sz w:val="24"/>
                <w:szCs w:val="24"/>
              </w:rPr>
              <w:t>生态文化</w:t>
            </w:r>
          </w:p>
        </w:tc>
        <w:tc>
          <w:tcPr>
            <w:tcW w:w="1708" w:type="dxa"/>
            <w:tcBorders>
              <w:top w:val="nil"/>
              <w:left w:val="nil"/>
              <w:bottom w:val="single" w:color="auto" w:sz="4" w:space="0"/>
              <w:right w:val="single" w:color="auto" w:sz="4" w:space="0"/>
            </w:tcBorders>
            <w:vAlign w:val="center"/>
          </w:tcPr>
          <w:p w14:paraId="7BFD02FD">
            <w:pPr>
              <w:jc w:val="center"/>
              <w:rPr>
                <w:rFonts w:ascii="Times New Roman" w:hAnsi="Times New Roman" w:eastAsia="宋体" w:cs="Times New Roman"/>
                <w:kern w:val="0"/>
                <w:sz w:val="24"/>
                <w:szCs w:val="24"/>
                <w:lang w:bidi="ar"/>
              </w:rPr>
            </w:pPr>
            <w:r>
              <w:rPr>
                <w:rFonts w:ascii="Times New Roman" w:hAnsi="Times New Roman" w:eastAsia="宋体" w:cs="Times New Roman"/>
                <w:kern w:val="0"/>
                <w:sz w:val="24"/>
                <w:szCs w:val="24"/>
                <w:lang w:bidi="ar"/>
              </w:rPr>
              <w:t>9</w:t>
            </w:r>
          </w:p>
        </w:tc>
        <w:tc>
          <w:tcPr>
            <w:tcW w:w="2210" w:type="dxa"/>
            <w:tcBorders>
              <w:top w:val="nil"/>
              <w:left w:val="nil"/>
              <w:bottom w:val="single" w:color="auto" w:sz="4" w:space="0"/>
              <w:right w:val="single" w:color="auto" w:sz="4" w:space="0"/>
            </w:tcBorders>
            <w:vAlign w:val="center"/>
          </w:tcPr>
          <w:p w14:paraId="34688E4F">
            <w:pPr>
              <w:jc w:val="center"/>
              <w:rPr>
                <w:rFonts w:ascii="Times New Roman" w:hAnsi="Times New Roman" w:eastAsia="宋体" w:cs="Times New Roman"/>
                <w:kern w:val="0"/>
                <w:sz w:val="24"/>
                <w:szCs w:val="24"/>
                <w:lang w:bidi="ar"/>
              </w:rPr>
            </w:pPr>
            <w:r>
              <w:rPr>
                <w:rFonts w:ascii="Times New Roman" w:hAnsi="Times New Roman" w:eastAsia="宋体" w:cs="Times New Roman"/>
                <w:kern w:val="0"/>
                <w:sz w:val="24"/>
                <w:szCs w:val="24"/>
                <w:lang w:bidi="ar"/>
              </w:rPr>
              <w:t>3980</w:t>
            </w:r>
          </w:p>
        </w:tc>
      </w:tr>
      <w:tr w14:paraId="57392214">
        <w:tblPrEx>
          <w:tblCellMar>
            <w:top w:w="0" w:type="dxa"/>
            <w:left w:w="108" w:type="dxa"/>
            <w:bottom w:w="0" w:type="dxa"/>
            <w:right w:w="108" w:type="dxa"/>
          </w:tblCellMar>
        </w:tblPrEx>
        <w:trPr>
          <w:trHeight w:val="316" w:hRule="atLeast"/>
          <w:jc w:val="center"/>
        </w:trPr>
        <w:tc>
          <w:tcPr>
            <w:tcW w:w="3541" w:type="dxa"/>
            <w:gridSpan w:val="2"/>
            <w:tcBorders>
              <w:top w:val="single" w:color="auto" w:sz="4" w:space="0"/>
              <w:left w:val="single" w:color="auto" w:sz="4" w:space="0"/>
              <w:bottom w:val="single" w:color="auto" w:sz="4" w:space="0"/>
              <w:right w:val="single" w:color="auto" w:sz="4" w:space="0"/>
            </w:tcBorders>
            <w:vAlign w:val="center"/>
          </w:tcPr>
          <w:p w14:paraId="65BF7275">
            <w:pPr>
              <w:jc w:val="center"/>
              <w:rPr>
                <w:rFonts w:ascii="宋体" w:hAnsi="宋体" w:eastAsia="宋体"/>
                <w:b/>
                <w:bCs/>
                <w:kern w:val="0"/>
                <w:sz w:val="24"/>
                <w:szCs w:val="24"/>
              </w:rPr>
            </w:pPr>
            <w:r>
              <w:rPr>
                <w:rFonts w:hint="eastAsia" w:ascii="宋体" w:hAnsi="宋体" w:eastAsia="宋体"/>
                <w:b/>
                <w:bCs/>
                <w:kern w:val="0"/>
                <w:sz w:val="24"/>
                <w:szCs w:val="24"/>
              </w:rPr>
              <w:t>合  计</w:t>
            </w:r>
          </w:p>
        </w:tc>
        <w:tc>
          <w:tcPr>
            <w:tcW w:w="1708" w:type="dxa"/>
            <w:tcBorders>
              <w:top w:val="nil"/>
              <w:left w:val="nil"/>
              <w:bottom w:val="single" w:color="auto" w:sz="4" w:space="0"/>
              <w:right w:val="single" w:color="auto" w:sz="4" w:space="0"/>
            </w:tcBorders>
            <w:vAlign w:val="center"/>
          </w:tcPr>
          <w:p w14:paraId="7C96ED28">
            <w:pPr>
              <w:widowControl/>
              <w:jc w:val="center"/>
              <w:textAlignment w:val="center"/>
              <w:rPr>
                <w:rFonts w:ascii="Times New Roman" w:hAnsi="Times New Roman" w:eastAsia="宋体" w:cs="Times New Roman"/>
                <w:b/>
                <w:bCs/>
                <w:kern w:val="0"/>
                <w:sz w:val="24"/>
                <w:szCs w:val="24"/>
                <w:lang w:bidi="ar"/>
              </w:rPr>
            </w:pPr>
            <w:r>
              <w:rPr>
                <w:rFonts w:ascii="Times New Roman" w:hAnsi="Times New Roman" w:eastAsia="宋体" w:cs="Times New Roman"/>
                <w:b/>
                <w:bCs/>
                <w:color w:val="000000"/>
                <w:kern w:val="0"/>
                <w:sz w:val="22"/>
                <w:lang w:bidi="ar"/>
              </w:rPr>
              <w:t>92</w:t>
            </w:r>
          </w:p>
        </w:tc>
        <w:tc>
          <w:tcPr>
            <w:tcW w:w="2210" w:type="dxa"/>
            <w:tcBorders>
              <w:top w:val="nil"/>
              <w:left w:val="nil"/>
              <w:bottom w:val="single" w:color="auto" w:sz="4" w:space="0"/>
              <w:right w:val="single" w:color="auto" w:sz="4" w:space="0"/>
            </w:tcBorders>
            <w:vAlign w:val="center"/>
          </w:tcPr>
          <w:p w14:paraId="451524FF">
            <w:pPr>
              <w:widowControl/>
              <w:jc w:val="center"/>
              <w:textAlignment w:val="center"/>
              <w:rPr>
                <w:rFonts w:ascii="Times New Roman" w:hAnsi="Times New Roman" w:eastAsia="宋体" w:cs="Times New Roman"/>
                <w:b/>
                <w:bCs/>
                <w:kern w:val="0"/>
                <w:sz w:val="24"/>
                <w:szCs w:val="24"/>
                <w:lang w:bidi="ar"/>
              </w:rPr>
            </w:pPr>
            <w:r>
              <w:rPr>
                <w:rFonts w:ascii="Times New Roman" w:hAnsi="Times New Roman" w:eastAsia="宋体" w:cs="Times New Roman"/>
                <w:b/>
                <w:bCs/>
                <w:color w:val="000000"/>
                <w:kern w:val="0"/>
                <w:sz w:val="22"/>
                <w:lang w:bidi="ar"/>
              </w:rPr>
              <w:t>356538</w:t>
            </w:r>
          </w:p>
        </w:tc>
      </w:tr>
      <w:bookmarkEnd w:id="267"/>
    </w:tbl>
    <w:p w14:paraId="45DD3221">
      <w:pPr>
        <w:rPr>
          <w:rFonts w:ascii="Times New Roman" w:hAnsi="Times New Roman" w:cs="Times New Roman"/>
        </w:rPr>
      </w:pPr>
      <w:r>
        <w:rPr>
          <w:rFonts w:ascii="Times New Roman" w:hAnsi="Times New Roman" w:cs="Times New Roman"/>
        </w:rPr>
        <w:t xml:space="preserve"> </w:t>
      </w:r>
    </w:p>
    <w:p w14:paraId="51D90629">
      <w:pPr>
        <w:spacing w:line="580" w:lineRule="exact"/>
        <w:jc w:val="center"/>
        <w:outlineLvl w:val="1"/>
        <w:rPr>
          <w:rFonts w:ascii="Times New Roman" w:hAnsi="Times New Roman" w:eastAsia="黑体" w:cs="Times New Roman"/>
          <w:bCs/>
          <w:sz w:val="32"/>
          <w:szCs w:val="32"/>
          <w:lang w:val="zh-CN"/>
        </w:rPr>
      </w:pPr>
      <w:bookmarkStart w:id="268" w:name="_Toc105576381"/>
      <w:bookmarkStart w:id="269" w:name="_Toc32285"/>
      <w:bookmarkStart w:id="270" w:name="_Toc28139"/>
      <w:bookmarkStart w:id="271" w:name="_Toc2030"/>
      <w:r>
        <w:rPr>
          <w:rFonts w:ascii="Times New Roman" w:hAnsi="Times New Roman" w:eastAsia="黑体" w:cs="Times New Roman"/>
          <w:bCs/>
          <w:sz w:val="32"/>
          <w:szCs w:val="32"/>
        </w:rPr>
        <w:t>第</w:t>
      </w:r>
      <w:r>
        <w:rPr>
          <w:rFonts w:hint="eastAsia" w:ascii="Times New Roman" w:hAnsi="Times New Roman" w:eastAsia="黑体" w:cs="Times New Roman"/>
          <w:bCs/>
          <w:sz w:val="32"/>
          <w:szCs w:val="32"/>
        </w:rPr>
        <w:t>二</w:t>
      </w:r>
      <w:r>
        <w:rPr>
          <w:rFonts w:ascii="Times New Roman" w:hAnsi="Times New Roman" w:eastAsia="黑体" w:cs="Times New Roman"/>
          <w:bCs/>
          <w:sz w:val="32"/>
          <w:szCs w:val="32"/>
        </w:rPr>
        <w:t xml:space="preserve">节 </w:t>
      </w:r>
      <w:r>
        <w:rPr>
          <w:rFonts w:hint="eastAsia" w:ascii="Times New Roman" w:hAnsi="Times New Roman" w:eastAsia="黑体" w:cs="Times New Roman"/>
          <w:bCs/>
          <w:sz w:val="32"/>
          <w:szCs w:val="32"/>
        </w:rPr>
        <w:t xml:space="preserve"> 效益分析</w:t>
      </w:r>
      <w:r>
        <w:rPr>
          <w:rFonts w:ascii="Times New Roman" w:hAnsi="Times New Roman" w:eastAsia="黑体" w:cs="Times New Roman"/>
          <w:bCs/>
          <w:sz w:val="32"/>
          <w:szCs w:val="32"/>
        </w:rPr>
        <w:t xml:space="preserve"> </w:t>
      </w:r>
    </w:p>
    <w:p w14:paraId="0DCE3B7F">
      <w:pPr>
        <w:adjustRightInd w:val="0"/>
        <w:snapToGrid w:val="0"/>
        <w:spacing w:line="580" w:lineRule="exact"/>
        <w:ind w:firstLine="600" w:firstLineChars="200"/>
        <w:outlineLvl w:val="2"/>
        <w:rPr>
          <w:rFonts w:ascii="Times New Roman" w:hAnsi="Times New Roman" w:eastAsia="楷体_GB2312" w:cs="Times New Roman"/>
          <w:b/>
          <w:bCs/>
          <w:sz w:val="30"/>
          <w:szCs w:val="30"/>
          <w:lang w:val="zh-CN"/>
        </w:rPr>
      </w:pPr>
      <w:r>
        <w:rPr>
          <w:rFonts w:hint="eastAsia" w:ascii="Times New Roman" w:hAnsi="Times New Roman" w:eastAsia="楷体_GB2312" w:cs="Times New Roman"/>
          <w:b/>
          <w:bCs/>
          <w:sz w:val="30"/>
          <w:szCs w:val="30"/>
          <w:lang w:val="zh-CN"/>
        </w:rPr>
        <w:t>（</w:t>
      </w:r>
      <w:r>
        <w:rPr>
          <w:rFonts w:hint="eastAsia" w:ascii="Times New Roman" w:hAnsi="Times New Roman" w:eastAsia="楷体_GB2312" w:cs="Times New Roman"/>
          <w:b/>
          <w:bCs/>
          <w:sz w:val="30"/>
          <w:szCs w:val="30"/>
        </w:rPr>
        <w:t>一</w:t>
      </w:r>
      <w:r>
        <w:rPr>
          <w:rFonts w:hint="eastAsia" w:ascii="Times New Roman" w:hAnsi="Times New Roman" w:eastAsia="楷体_GB2312" w:cs="Times New Roman"/>
          <w:b/>
          <w:bCs/>
          <w:sz w:val="30"/>
          <w:szCs w:val="30"/>
          <w:lang w:val="zh-CN"/>
        </w:rPr>
        <w:t>）</w:t>
      </w:r>
      <w:r>
        <w:rPr>
          <w:rFonts w:ascii="Times New Roman" w:hAnsi="Times New Roman" w:eastAsia="楷体_GB2312" w:cs="Times New Roman"/>
          <w:b/>
          <w:bCs/>
          <w:sz w:val="30"/>
          <w:szCs w:val="30"/>
          <w:lang w:val="zh-CN"/>
        </w:rPr>
        <w:t>生态效益</w:t>
      </w:r>
      <w:bookmarkEnd w:id="268"/>
      <w:bookmarkEnd w:id="269"/>
      <w:bookmarkEnd w:id="270"/>
      <w:bookmarkEnd w:id="271"/>
    </w:p>
    <w:p w14:paraId="3BCD407E">
      <w:pPr>
        <w:adjustRightInd w:val="0"/>
        <w:snapToGrid w:val="0"/>
        <w:spacing w:line="500" w:lineRule="exact"/>
        <w:ind w:firstLine="600" w:firstLineChars="200"/>
        <w:rPr>
          <w:rFonts w:ascii="Times New Roman" w:hAnsi="Times New Roman" w:eastAsia="仿宋_GB2312" w:cs="Times New Roman"/>
          <w:sz w:val="30"/>
          <w:szCs w:val="30"/>
          <w:lang w:val="zh-CN"/>
        </w:rPr>
      </w:pPr>
      <w:r>
        <w:rPr>
          <w:rFonts w:ascii="Times New Roman" w:hAnsi="Times New Roman" w:eastAsia="仿宋_GB2312" w:cs="Times New Roman"/>
          <w:sz w:val="30"/>
          <w:szCs w:val="30"/>
          <w:lang w:val="zh-CN"/>
        </w:rPr>
        <w:t>生态文明建设通过优化调整产业结构和加快推进环境综合整治措施的实施，将极大地提高全县的生产、生活环境，改善城镇和农村生态环境，解决生产、生活污染问题，使人居环境得到明显改善。</w:t>
      </w:r>
    </w:p>
    <w:p w14:paraId="4C2FF4F2">
      <w:pPr>
        <w:adjustRightInd w:val="0"/>
        <w:snapToGrid w:val="0"/>
        <w:spacing w:line="500" w:lineRule="exact"/>
        <w:ind w:firstLine="600" w:firstLineChars="200"/>
        <w:rPr>
          <w:rFonts w:ascii="Times New Roman" w:hAnsi="Times New Roman" w:eastAsia="仿宋_GB2312" w:cs="Times New Roman"/>
          <w:sz w:val="30"/>
          <w:szCs w:val="30"/>
          <w:lang w:val="zh-CN"/>
        </w:rPr>
      </w:pPr>
      <w:r>
        <w:rPr>
          <w:rFonts w:ascii="Times New Roman" w:hAnsi="Times New Roman" w:eastAsia="仿宋_GB2312" w:cs="Times New Roman"/>
          <w:sz w:val="30"/>
          <w:szCs w:val="30"/>
          <w:lang w:val="zh-CN"/>
        </w:rPr>
        <w:t>规划通过对地区开展防护林建设、人工种草、重要江河湖及湿地公园保护与恢复，可以维持洛隆良好的生态环境，遏制生态破坏，维持生态平衡，促进生态系统的良性循环。通过水土流失治理、地质灾害防治、防沙治沙、水源地保护等工程，可以有效地改善地区及周边区域的生态环境，有效遏制生态破坏继续加剧，增强农业、牧业抵御自然灾害的能力。通过开展污水处理厂建设、垃圾综合利用示范、废弃物处理及综合利用、秸秆综合利用、农牧区节水灌溉等工程，对地区居民的生活污水和生活垃圾进行统一收集，统一处理，并实现再利用，改善地区垃圾乱排乱扔的现状，实现污染排放减少并达到循环利用的目的，改善当地的环境质量。通过优化生态空间布局，开展国土空间规划，国土空间布局更加合理，管理更加精细科学。</w:t>
      </w:r>
    </w:p>
    <w:p w14:paraId="66D4B337">
      <w:pPr>
        <w:adjustRightInd w:val="0"/>
        <w:snapToGrid w:val="0"/>
        <w:spacing w:line="580" w:lineRule="exact"/>
        <w:ind w:firstLine="600" w:firstLineChars="200"/>
        <w:outlineLvl w:val="2"/>
        <w:rPr>
          <w:rFonts w:ascii="Times New Roman" w:hAnsi="Times New Roman" w:eastAsia="楷体_GB2312" w:cs="Times New Roman"/>
          <w:b/>
          <w:bCs/>
          <w:sz w:val="30"/>
          <w:szCs w:val="30"/>
          <w:lang w:val="zh-CN"/>
        </w:rPr>
      </w:pPr>
      <w:bookmarkStart w:id="272" w:name="_Toc22735"/>
      <w:bookmarkStart w:id="273" w:name="_Toc105576382"/>
      <w:bookmarkStart w:id="274" w:name="_Toc9553"/>
      <w:bookmarkStart w:id="275" w:name="_Toc21873"/>
      <w:r>
        <w:rPr>
          <w:rFonts w:hint="eastAsia" w:ascii="Times New Roman" w:hAnsi="Times New Roman" w:eastAsia="楷体_GB2312" w:cs="Times New Roman"/>
          <w:b/>
          <w:bCs/>
          <w:sz w:val="30"/>
          <w:szCs w:val="30"/>
          <w:lang w:val="zh-CN"/>
        </w:rPr>
        <w:t>（</w:t>
      </w:r>
      <w:r>
        <w:rPr>
          <w:rFonts w:hint="eastAsia" w:ascii="Times New Roman" w:hAnsi="Times New Roman" w:eastAsia="楷体_GB2312" w:cs="Times New Roman"/>
          <w:b/>
          <w:bCs/>
          <w:sz w:val="30"/>
          <w:szCs w:val="30"/>
        </w:rPr>
        <w:t>二</w:t>
      </w:r>
      <w:r>
        <w:rPr>
          <w:rFonts w:hint="eastAsia" w:ascii="Times New Roman" w:hAnsi="Times New Roman" w:eastAsia="楷体_GB2312" w:cs="Times New Roman"/>
          <w:b/>
          <w:bCs/>
          <w:sz w:val="30"/>
          <w:szCs w:val="30"/>
          <w:lang w:val="zh-CN"/>
        </w:rPr>
        <w:t>）</w:t>
      </w:r>
      <w:r>
        <w:rPr>
          <w:rFonts w:ascii="Times New Roman" w:hAnsi="Times New Roman" w:eastAsia="楷体_GB2312" w:cs="Times New Roman"/>
          <w:b/>
          <w:bCs/>
          <w:sz w:val="30"/>
          <w:szCs w:val="30"/>
          <w:lang w:val="zh-CN"/>
        </w:rPr>
        <w:t>经济效益</w:t>
      </w:r>
      <w:bookmarkEnd w:id="272"/>
      <w:bookmarkEnd w:id="273"/>
      <w:bookmarkEnd w:id="274"/>
      <w:bookmarkEnd w:id="275"/>
    </w:p>
    <w:p w14:paraId="08EC33E1">
      <w:pPr>
        <w:adjustRightInd w:val="0"/>
        <w:snapToGrid w:val="0"/>
        <w:spacing w:line="500" w:lineRule="exact"/>
        <w:ind w:firstLine="600" w:firstLineChars="200"/>
        <w:rPr>
          <w:rFonts w:ascii="Times New Roman" w:hAnsi="Times New Roman" w:eastAsia="仿宋_GB2312" w:cs="Times New Roman"/>
          <w:sz w:val="30"/>
          <w:szCs w:val="30"/>
          <w:lang w:val="zh-CN"/>
        </w:rPr>
      </w:pPr>
      <w:r>
        <w:rPr>
          <w:rFonts w:ascii="Times New Roman" w:hAnsi="Times New Roman" w:eastAsia="仿宋_GB2312" w:cs="Times New Roman"/>
          <w:sz w:val="30"/>
          <w:szCs w:val="30"/>
          <w:lang w:val="zh-CN"/>
        </w:rPr>
        <w:t>生态文明建设将大大优化洛隆县的经济运行环境，提高经济发展的绿色含量，奠定经济持续健康发展的基础。通过生态公共服务设施、生态公用工程设施的建设，有利于减少资源与能源浪费、降低能耗、提高效率，形成有利于节约资源的生产方式和发展模式，使经济可持续发展能力显著增强、经济发展的质量和效益明显提升。经济发展、资金引入也将带动生态服务业、生态旅游及相关产业的全面快速发展，扩大了居民收入的途径，从而增加当地居民的收入。</w:t>
      </w:r>
    </w:p>
    <w:p w14:paraId="688EEB9E">
      <w:pPr>
        <w:adjustRightInd w:val="0"/>
        <w:snapToGrid w:val="0"/>
        <w:spacing w:line="500" w:lineRule="exact"/>
        <w:ind w:firstLine="600" w:firstLineChars="200"/>
        <w:rPr>
          <w:rFonts w:ascii="Times New Roman" w:hAnsi="Times New Roman" w:eastAsia="仿宋_GB2312" w:cs="Times New Roman"/>
          <w:sz w:val="30"/>
          <w:szCs w:val="30"/>
          <w:lang w:val="zh-CN"/>
        </w:rPr>
      </w:pPr>
      <w:r>
        <w:rPr>
          <w:rFonts w:ascii="Times New Roman" w:hAnsi="Times New Roman" w:eastAsia="仿宋_GB2312" w:cs="Times New Roman"/>
          <w:sz w:val="30"/>
          <w:szCs w:val="30"/>
          <w:lang w:val="zh-CN"/>
        </w:rPr>
        <w:t>规划能够不断推动产业结构合理化、高级化，促使产业结构与昌都市能源供给结构、需求结构处于相互适应的状态。工业企业中资源能源的循环再利用以及工业“三废”排放量的减少，有利于洛隆县改进生产方式，推行清洁生产，同时也能促进形成“环境友好型”的工业发展局面。服务业可以顺应需求结构变化和产业结构调整趋势，充分利用现代技术进行改造提升，能够为形成机制灵活、功能完善、开放度高、辐射力强的现代服务业体系提供助推力。生态景区及文化旅游基础设施建设和旅游信息化建设为载体的生态旅游体系必将推动旅游综合收入的增加。通过发展生态产业，使特色资源和特色优势不断得到挖掘，壮大绿色、低碳、循环经济规模。政府采购和绩效考核机制中更多地考虑到绿色环保方面的因素，能够为低碳循环经济的发展提供机制体制保障。</w:t>
      </w:r>
    </w:p>
    <w:p w14:paraId="4DF20508">
      <w:pPr>
        <w:adjustRightInd w:val="0"/>
        <w:snapToGrid w:val="0"/>
        <w:spacing w:line="580" w:lineRule="exact"/>
        <w:ind w:firstLine="600" w:firstLineChars="200"/>
        <w:outlineLvl w:val="2"/>
        <w:rPr>
          <w:rFonts w:ascii="Times New Roman" w:hAnsi="Times New Roman" w:eastAsia="楷体_GB2312" w:cs="Times New Roman"/>
          <w:b/>
          <w:bCs/>
          <w:sz w:val="30"/>
          <w:szCs w:val="30"/>
          <w:lang w:val="zh-CN"/>
        </w:rPr>
      </w:pPr>
      <w:bookmarkStart w:id="276" w:name="_Toc18411"/>
      <w:bookmarkStart w:id="277" w:name="_Toc105576383"/>
      <w:bookmarkStart w:id="278" w:name="_Toc17069"/>
      <w:bookmarkStart w:id="279" w:name="_Toc4945"/>
      <w:r>
        <w:rPr>
          <w:rFonts w:hint="eastAsia" w:ascii="Times New Roman" w:hAnsi="Times New Roman" w:eastAsia="楷体_GB2312" w:cs="Times New Roman"/>
          <w:b/>
          <w:bCs/>
          <w:sz w:val="30"/>
          <w:szCs w:val="30"/>
          <w:lang w:val="zh-CN"/>
        </w:rPr>
        <w:t>（</w:t>
      </w:r>
      <w:r>
        <w:rPr>
          <w:rFonts w:hint="eastAsia" w:ascii="Times New Roman" w:hAnsi="Times New Roman" w:eastAsia="楷体_GB2312" w:cs="Times New Roman"/>
          <w:b/>
          <w:bCs/>
          <w:sz w:val="30"/>
          <w:szCs w:val="30"/>
        </w:rPr>
        <w:t>三</w:t>
      </w:r>
      <w:r>
        <w:rPr>
          <w:rFonts w:hint="eastAsia" w:ascii="Times New Roman" w:hAnsi="Times New Roman" w:eastAsia="楷体_GB2312" w:cs="Times New Roman"/>
          <w:b/>
          <w:bCs/>
          <w:sz w:val="30"/>
          <w:szCs w:val="30"/>
          <w:lang w:val="zh-CN"/>
        </w:rPr>
        <w:t>）</w:t>
      </w:r>
      <w:r>
        <w:rPr>
          <w:rFonts w:ascii="Times New Roman" w:hAnsi="Times New Roman" w:eastAsia="楷体_GB2312" w:cs="Times New Roman"/>
          <w:b/>
          <w:bCs/>
          <w:sz w:val="30"/>
          <w:szCs w:val="30"/>
          <w:lang w:val="zh-CN"/>
        </w:rPr>
        <w:t>社会效益</w:t>
      </w:r>
      <w:bookmarkEnd w:id="276"/>
      <w:bookmarkEnd w:id="277"/>
      <w:bookmarkEnd w:id="278"/>
      <w:bookmarkEnd w:id="279"/>
    </w:p>
    <w:p w14:paraId="58B7EEAE">
      <w:pPr>
        <w:adjustRightInd w:val="0"/>
        <w:snapToGrid w:val="0"/>
        <w:spacing w:line="500" w:lineRule="exact"/>
        <w:ind w:firstLine="600" w:firstLineChars="200"/>
        <w:rPr>
          <w:rFonts w:ascii="Times New Roman" w:hAnsi="Times New Roman" w:eastAsia="仿宋_GB2312" w:cs="Times New Roman"/>
          <w:sz w:val="30"/>
          <w:szCs w:val="30"/>
          <w:lang w:val="zh-CN"/>
        </w:rPr>
      </w:pPr>
      <w:r>
        <w:rPr>
          <w:rFonts w:ascii="Times New Roman" w:hAnsi="Times New Roman" w:eastAsia="仿宋_GB2312" w:cs="Times New Roman"/>
          <w:sz w:val="30"/>
          <w:szCs w:val="30"/>
          <w:lang w:val="zh-CN"/>
        </w:rPr>
        <w:t>建设生态文明，将生态文明思想渗透到全社会范围中去，使农牧民传统的生产、生活方式和价值观向环境友好、资源节约的生态化方向转变，使普通百姓形成文明、健康、科学、环保的生产和生活方式，养成节约资源和保护环境的生活生产习惯，树立尊重自然、顺应自然和保护自然的生态价值观念。</w:t>
      </w:r>
    </w:p>
    <w:p w14:paraId="234C5CD5">
      <w:pPr>
        <w:adjustRightInd w:val="0"/>
        <w:snapToGrid w:val="0"/>
        <w:spacing w:line="500" w:lineRule="exact"/>
        <w:ind w:firstLine="600" w:firstLineChars="200"/>
        <w:rPr>
          <w:rFonts w:ascii="Times New Roman" w:hAnsi="Times New Roman" w:eastAsia="仿宋_GB2312" w:cs="Times New Roman"/>
          <w:sz w:val="30"/>
          <w:szCs w:val="30"/>
          <w:lang w:val="zh-CN"/>
        </w:rPr>
      </w:pPr>
      <w:r>
        <w:rPr>
          <w:rFonts w:ascii="Times New Roman" w:hAnsi="Times New Roman" w:eastAsia="仿宋_GB2312" w:cs="Times New Roman"/>
          <w:sz w:val="30"/>
          <w:szCs w:val="30"/>
          <w:lang w:val="zh-CN"/>
        </w:rPr>
        <w:t>通过生态产业发展、生态环境建设和生态人居工程的实施，显著提高居民的生活质量。随着生态经济发展、人均收入提高，贫困人口比例将不断下降，社会收入分配趋于平衡、合理，有利于促进社会的和谐稳定。人们消费结构与消费理念改变，人与自然的关系逐渐趋于和谐。</w:t>
      </w:r>
    </w:p>
    <w:p w14:paraId="43922621">
      <w:pPr>
        <w:adjustRightInd w:val="0"/>
        <w:snapToGrid w:val="0"/>
        <w:spacing w:line="500" w:lineRule="exact"/>
        <w:ind w:firstLine="600" w:firstLineChars="200"/>
        <w:rPr>
          <w:rFonts w:ascii="Times New Roman" w:hAnsi="Times New Roman" w:eastAsia="仿宋_GB2312" w:cs="Times New Roman"/>
          <w:sz w:val="30"/>
          <w:szCs w:val="30"/>
          <w:lang w:val="zh-CN"/>
        </w:rPr>
      </w:pPr>
      <w:r>
        <w:rPr>
          <w:rFonts w:ascii="Times New Roman" w:hAnsi="Times New Roman" w:eastAsia="仿宋_GB2312" w:cs="Times New Roman"/>
          <w:sz w:val="30"/>
          <w:szCs w:val="30"/>
          <w:lang w:val="zh-CN"/>
        </w:rPr>
        <w:t>在规划实施过程中，重视生态文明的宣传、教育和培训，推进绿色建筑的落实，倡导绿色消费，有利于推动全县人民群众的环境保护受教育水平，提高人民群众的生态环境保护意识。城乡生活污水、生活垃圾收集处理系统等基础设施日趋完善，公共卫生及健康水平得到保证，居民生活质量显著提高。通过规划的建设，能够较合理地处理各方面的利益关系，经济收益增加和生态环境改善，使人民群众普遍受惠。同时随着生态经济发展、城乡统筹体系建设、人均收入提高，贫困人口比例将不断下降，社会收入分配趋于合理，人们消费结构与消费理念改变，从而使得人与自然矛盾不再凸现而关系逐渐趋于和谐，社会更加稳定。</w:t>
      </w:r>
    </w:p>
    <w:p w14:paraId="58CD9628">
      <w:pPr>
        <w:widowControl/>
        <w:jc w:val="left"/>
        <w:rPr>
          <w:rFonts w:ascii="Times New Roman" w:hAnsi="Times New Roman" w:cs="Times New Roman"/>
        </w:rPr>
      </w:pPr>
    </w:p>
    <w:p w14:paraId="62065206">
      <w:pPr>
        <w:pStyle w:val="2"/>
        <w:ind w:firstLine="480"/>
      </w:pPr>
    </w:p>
    <w:p w14:paraId="278593B0">
      <w:pPr>
        <w:pageBreakBefore/>
        <w:spacing w:line="580" w:lineRule="exact"/>
        <w:jc w:val="center"/>
        <w:outlineLvl w:val="0"/>
        <w:rPr>
          <w:rFonts w:ascii="方正小标宋简体" w:hAnsi="Times New Roman" w:eastAsia="方正小标宋简体" w:cs="Times New Roman"/>
          <w:sz w:val="36"/>
          <w:szCs w:val="36"/>
        </w:rPr>
      </w:pPr>
      <w:bookmarkStart w:id="280" w:name="_Toc528335102"/>
      <w:bookmarkStart w:id="281" w:name="_Toc26457"/>
      <w:bookmarkStart w:id="282" w:name="_Toc3678"/>
      <w:r>
        <w:rPr>
          <w:rFonts w:ascii="方正小标宋简体" w:hAnsi="Times New Roman" w:eastAsia="方正小标宋简体" w:cs="Times New Roman"/>
          <w:sz w:val="36"/>
          <w:szCs w:val="36"/>
        </w:rPr>
        <w:t>第十章 保障措施</w:t>
      </w:r>
      <w:bookmarkEnd w:id="280"/>
      <w:bookmarkEnd w:id="281"/>
      <w:bookmarkEnd w:id="282"/>
    </w:p>
    <w:p w14:paraId="259BAB8A">
      <w:pPr>
        <w:spacing w:line="580" w:lineRule="exact"/>
        <w:jc w:val="center"/>
        <w:outlineLvl w:val="1"/>
        <w:rPr>
          <w:rFonts w:ascii="Times New Roman" w:hAnsi="Times New Roman" w:eastAsia="黑体" w:cs="Times New Roman"/>
          <w:bCs/>
          <w:sz w:val="32"/>
          <w:szCs w:val="32"/>
        </w:rPr>
      </w:pPr>
      <w:bookmarkStart w:id="283" w:name="_Toc21445"/>
      <w:bookmarkStart w:id="284" w:name="_Toc5669"/>
      <w:bookmarkStart w:id="285" w:name="_Toc528335103"/>
    </w:p>
    <w:p w14:paraId="4A7F82CE">
      <w:pPr>
        <w:spacing w:line="580" w:lineRule="exact"/>
        <w:jc w:val="center"/>
        <w:outlineLvl w:val="1"/>
        <w:rPr>
          <w:rFonts w:ascii="Times New Roman" w:hAnsi="Times New Roman" w:eastAsia="黑体" w:cs="Times New Roman"/>
          <w:bCs/>
          <w:sz w:val="32"/>
          <w:szCs w:val="32"/>
        </w:rPr>
      </w:pPr>
      <w:r>
        <w:rPr>
          <w:rFonts w:ascii="Times New Roman" w:hAnsi="Times New Roman" w:eastAsia="黑体" w:cs="Times New Roman"/>
          <w:bCs/>
          <w:sz w:val="32"/>
          <w:szCs w:val="32"/>
        </w:rPr>
        <w:t>第一节  加强组织领导</w:t>
      </w:r>
      <w:bookmarkEnd w:id="283"/>
      <w:bookmarkEnd w:id="284"/>
      <w:bookmarkEnd w:id="285"/>
    </w:p>
    <w:p w14:paraId="17303FDC">
      <w:pPr>
        <w:adjustRightInd w:val="0"/>
        <w:snapToGrid w:val="0"/>
        <w:spacing w:line="500" w:lineRule="exact"/>
        <w:ind w:firstLine="600" w:firstLineChars="200"/>
      </w:pPr>
      <w:r>
        <w:rPr>
          <w:rFonts w:hint="eastAsia" w:ascii="Times New Roman" w:hAnsi="Times New Roman" w:eastAsia="仿宋_GB2312" w:cs="Times New Roman"/>
          <w:sz w:val="30"/>
          <w:szCs w:val="30"/>
          <w:lang w:val="zh-CN"/>
        </w:rPr>
        <w:t>加强生态文明建设示范县创建的组织领导，成立生态文明建设领导小组，由洛隆县党委、政府主要领导任组长，县委常委、县政府分管副县长为副组长，县级部门及各乡镇主要负责人为成员，统筹全县生态文明建设示范县创建工作。下设办公室，负责生态文明建设示范县创建日常工作。加大领导和统筹力度，理顺各部门权责，明确目标任务、责任分工和时间要求，建立部门职责明确、分工协作的工作机制，各有关部门均要明确分管领导和责任科室，形成分级管理、部门协调、上下联动、良性互动的工作局面。加强跟踪分析和监督检查，建立和完善年度考核、中期评估和终期考评机制，同时建立生态文明建设决策咨询、听证制度，实行环境与发展综合决策制度，定期研究解决生态文明建设中的重大问题。</w:t>
      </w:r>
    </w:p>
    <w:p w14:paraId="310E8662">
      <w:pPr>
        <w:spacing w:line="580" w:lineRule="exact"/>
        <w:jc w:val="center"/>
        <w:outlineLvl w:val="1"/>
        <w:rPr>
          <w:rFonts w:ascii="Times New Roman" w:hAnsi="Times New Roman" w:eastAsia="黑体" w:cs="Times New Roman"/>
          <w:bCs/>
          <w:sz w:val="32"/>
          <w:szCs w:val="32"/>
        </w:rPr>
      </w:pPr>
      <w:bookmarkStart w:id="286" w:name="_Toc13197"/>
      <w:bookmarkStart w:id="287" w:name="_Toc10939"/>
      <w:bookmarkStart w:id="288" w:name="_Toc528335104"/>
      <w:r>
        <w:rPr>
          <w:rFonts w:ascii="Times New Roman" w:hAnsi="Times New Roman" w:eastAsia="黑体" w:cs="Times New Roman"/>
          <w:bCs/>
          <w:sz w:val="32"/>
          <w:szCs w:val="32"/>
        </w:rPr>
        <w:t>第二节  强化</w:t>
      </w:r>
      <w:r>
        <w:rPr>
          <w:rFonts w:ascii="Times New Roman" w:hAnsi="Times New Roman" w:eastAsia="黑体" w:cs="Times New Roman"/>
          <w:bCs/>
          <w:sz w:val="32"/>
          <w:szCs w:val="32"/>
          <w:lang w:val="zh-CN"/>
        </w:rPr>
        <w:t>法制保障</w:t>
      </w:r>
      <w:bookmarkEnd w:id="286"/>
      <w:bookmarkEnd w:id="287"/>
      <w:bookmarkEnd w:id="288"/>
    </w:p>
    <w:p w14:paraId="15461E91">
      <w:pPr>
        <w:adjustRightInd w:val="0"/>
        <w:snapToGrid w:val="0"/>
        <w:spacing w:line="500" w:lineRule="exact"/>
        <w:ind w:firstLine="600" w:firstLineChars="200"/>
        <w:rPr>
          <w:rFonts w:ascii="Times New Roman" w:hAnsi="Times New Roman" w:eastAsia="仿宋_GB2312" w:cs="Times New Roman"/>
          <w:sz w:val="30"/>
          <w:szCs w:val="30"/>
          <w:lang w:val="zh-CN"/>
        </w:rPr>
      </w:pPr>
      <w:r>
        <w:rPr>
          <w:rFonts w:ascii="Times New Roman" w:hAnsi="Times New Roman" w:eastAsia="仿宋_GB2312" w:cs="Times New Roman"/>
          <w:sz w:val="30"/>
          <w:szCs w:val="30"/>
          <w:lang w:val="zh-CN"/>
        </w:rPr>
        <w:t>一是确立规划的法律地位。《昌都市</w:t>
      </w:r>
      <w:r>
        <w:rPr>
          <w:rFonts w:hint="eastAsia" w:ascii="Times New Roman" w:hAnsi="Times New Roman" w:eastAsia="仿宋_GB2312" w:cs="Times New Roman"/>
          <w:sz w:val="30"/>
          <w:szCs w:val="30"/>
          <w:lang w:val="zh-CN"/>
        </w:rPr>
        <w:t>洛隆</w:t>
      </w:r>
      <w:r>
        <w:rPr>
          <w:rFonts w:ascii="Times New Roman" w:hAnsi="Times New Roman" w:eastAsia="仿宋_GB2312" w:cs="Times New Roman"/>
          <w:sz w:val="30"/>
          <w:szCs w:val="30"/>
          <w:lang w:val="zh-CN"/>
        </w:rPr>
        <w:t>县西藏自治区生态文明建设示范县规划（202</w:t>
      </w:r>
      <w:r>
        <w:rPr>
          <w:rFonts w:hint="eastAsia" w:ascii="Times New Roman" w:hAnsi="Times New Roman" w:eastAsia="仿宋_GB2312" w:cs="Times New Roman"/>
          <w:sz w:val="30"/>
          <w:szCs w:val="30"/>
        </w:rPr>
        <w:t>2</w:t>
      </w:r>
      <w:r>
        <w:rPr>
          <w:rFonts w:ascii="Times New Roman" w:hAnsi="Times New Roman" w:eastAsia="仿宋_GB2312" w:cs="Times New Roman"/>
          <w:sz w:val="30"/>
          <w:szCs w:val="30"/>
          <w:lang w:val="zh-CN"/>
        </w:rPr>
        <w:t>-2030年）》作为</w:t>
      </w:r>
      <w:r>
        <w:rPr>
          <w:rFonts w:hint="eastAsia" w:ascii="Times New Roman" w:hAnsi="Times New Roman" w:eastAsia="仿宋_GB2312" w:cs="Times New Roman"/>
          <w:sz w:val="30"/>
          <w:szCs w:val="30"/>
        </w:rPr>
        <w:t>洛隆</w:t>
      </w:r>
      <w:r>
        <w:rPr>
          <w:rFonts w:ascii="Times New Roman" w:hAnsi="Times New Roman" w:eastAsia="仿宋_GB2312" w:cs="Times New Roman"/>
          <w:sz w:val="30"/>
          <w:szCs w:val="30"/>
          <w:lang w:val="zh-CN"/>
        </w:rPr>
        <w:t>县生态文明建设纲要文件，对</w:t>
      </w:r>
      <w:r>
        <w:rPr>
          <w:rFonts w:hint="eastAsia" w:ascii="Times New Roman" w:hAnsi="Times New Roman" w:eastAsia="仿宋_GB2312" w:cs="Times New Roman"/>
          <w:sz w:val="30"/>
          <w:szCs w:val="30"/>
        </w:rPr>
        <w:t>洛隆</w:t>
      </w:r>
      <w:r>
        <w:rPr>
          <w:rFonts w:ascii="Times New Roman" w:hAnsi="Times New Roman" w:eastAsia="仿宋_GB2312" w:cs="Times New Roman"/>
          <w:sz w:val="30"/>
          <w:szCs w:val="30"/>
          <w:lang w:val="zh-CN"/>
        </w:rPr>
        <w:t>县生态文明建设具有重要指导意义，应将规划中的具体建设内容、指标目标纳入到国民经济和社会发展计划中的建设内容和远景规划中，并在通过专家论证的基础上，经人民政府或人大常委会审批通过，成为</w:t>
      </w:r>
      <w:r>
        <w:rPr>
          <w:rFonts w:hint="eastAsia" w:ascii="Times New Roman" w:hAnsi="Times New Roman" w:eastAsia="仿宋_GB2312" w:cs="Times New Roman"/>
          <w:sz w:val="30"/>
          <w:szCs w:val="30"/>
        </w:rPr>
        <w:t>洛隆</w:t>
      </w:r>
      <w:r>
        <w:rPr>
          <w:rFonts w:ascii="Times New Roman" w:hAnsi="Times New Roman" w:eastAsia="仿宋_GB2312" w:cs="Times New Roman"/>
          <w:sz w:val="30"/>
          <w:szCs w:val="30"/>
          <w:lang w:val="zh-CN"/>
        </w:rPr>
        <w:t>县生态文明建设的指导文件。然后根据规划的各项规定和要求，进一步制定相应的实施细则，依法进行</w:t>
      </w:r>
      <w:r>
        <w:rPr>
          <w:rFonts w:hint="eastAsia" w:ascii="Times New Roman" w:hAnsi="Times New Roman" w:eastAsia="仿宋_GB2312" w:cs="Times New Roman"/>
          <w:sz w:val="30"/>
          <w:szCs w:val="30"/>
        </w:rPr>
        <w:t>洛隆</w:t>
      </w:r>
      <w:r>
        <w:rPr>
          <w:rFonts w:ascii="Times New Roman" w:hAnsi="Times New Roman" w:eastAsia="仿宋_GB2312" w:cs="Times New Roman"/>
          <w:sz w:val="30"/>
          <w:szCs w:val="30"/>
          <w:lang w:val="zh-CN"/>
        </w:rPr>
        <w:t>县生态文明建设和管理。</w:t>
      </w:r>
    </w:p>
    <w:p w14:paraId="3E0F66A9">
      <w:pPr>
        <w:adjustRightInd w:val="0"/>
        <w:snapToGrid w:val="0"/>
        <w:spacing w:line="500" w:lineRule="exact"/>
        <w:ind w:firstLine="600" w:firstLineChars="200"/>
        <w:rPr>
          <w:rFonts w:ascii="Times New Roman" w:hAnsi="Times New Roman" w:eastAsia="仿宋_GB2312" w:cs="Times New Roman"/>
          <w:sz w:val="30"/>
          <w:szCs w:val="30"/>
          <w:lang w:val="zh-CN"/>
        </w:rPr>
      </w:pPr>
      <w:r>
        <w:rPr>
          <w:rFonts w:ascii="Times New Roman" w:hAnsi="Times New Roman" w:eastAsia="仿宋_GB2312" w:cs="Times New Roman"/>
          <w:sz w:val="30"/>
          <w:szCs w:val="30"/>
          <w:lang w:val="zh-CN"/>
        </w:rPr>
        <w:t>二是制定相关政策措施。在贯彻执行现有地方行政法规、规章的基础上，加快制定</w:t>
      </w:r>
      <w:r>
        <w:rPr>
          <w:rFonts w:hint="eastAsia" w:ascii="Times New Roman" w:hAnsi="Times New Roman" w:eastAsia="仿宋_GB2312" w:cs="Times New Roman"/>
          <w:sz w:val="30"/>
          <w:szCs w:val="30"/>
        </w:rPr>
        <w:t>洛隆</w:t>
      </w:r>
      <w:r>
        <w:rPr>
          <w:rFonts w:ascii="Times New Roman" w:hAnsi="Times New Roman" w:eastAsia="仿宋_GB2312" w:cs="Times New Roman"/>
          <w:sz w:val="30"/>
          <w:szCs w:val="30"/>
          <w:lang w:val="zh-CN"/>
        </w:rPr>
        <w:t>县</w:t>
      </w:r>
      <w:r>
        <w:rPr>
          <w:rFonts w:ascii="Times New Roman" w:hAnsi="Times New Roman" w:eastAsia="仿宋_GB2312" w:cs="Times New Roman"/>
          <w:sz w:val="30"/>
          <w:szCs w:val="30"/>
        </w:rPr>
        <w:t>与西藏自治区</w:t>
      </w:r>
      <w:r>
        <w:rPr>
          <w:rFonts w:ascii="Times New Roman" w:hAnsi="Times New Roman" w:eastAsia="仿宋_GB2312" w:cs="Times New Roman"/>
          <w:sz w:val="30"/>
          <w:szCs w:val="30"/>
          <w:lang w:val="zh-CN"/>
        </w:rPr>
        <w:t>生态文明建设示范县创建配套的地方产业政策、促进清洁生产、生态保护和合理利用资源等的各项措施，抓紧清理和修订现有不完善或与生态建设不相适应的政策措施，建立健全生态文明建设的政策体系，保证规划的实施。建立鼓励政策，对生态产业、环境保护和生态建设中优先发展的项目提供相应的税收优惠和政策倾斜；根据生态环境保护补偿办法的要求，推动生态文明建设体制机制建设。</w:t>
      </w:r>
    </w:p>
    <w:p w14:paraId="6FE22DE5">
      <w:pPr>
        <w:spacing w:line="580" w:lineRule="exact"/>
        <w:jc w:val="center"/>
        <w:outlineLvl w:val="1"/>
        <w:rPr>
          <w:rFonts w:ascii="Times New Roman" w:hAnsi="Times New Roman" w:eastAsia="黑体" w:cs="Times New Roman"/>
          <w:bCs/>
          <w:sz w:val="32"/>
          <w:szCs w:val="32"/>
        </w:rPr>
      </w:pPr>
      <w:bookmarkStart w:id="289" w:name="_Toc528335105"/>
      <w:bookmarkStart w:id="290" w:name="_Toc3053"/>
      <w:bookmarkStart w:id="291" w:name="_Toc23106"/>
      <w:r>
        <w:rPr>
          <w:rFonts w:ascii="Times New Roman" w:hAnsi="Times New Roman" w:eastAsia="黑体" w:cs="Times New Roman"/>
          <w:bCs/>
          <w:sz w:val="32"/>
          <w:szCs w:val="32"/>
        </w:rPr>
        <w:t xml:space="preserve">第三节  </w:t>
      </w:r>
      <w:bookmarkEnd w:id="289"/>
      <w:bookmarkStart w:id="292" w:name="_Toc528335106"/>
      <w:r>
        <w:rPr>
          <w:rFonts w:ascii="Times New Roman" w:hAnsi="Times New Roman" w:eastAsia="黑体" w:cs="Times New Roman"/>
          <w:bCs/>
          <w:sz w:val="32"/>
          <w:szCs w:val="32"/>
        </w:rPr>
        <w:t>加大资金投入</w:t>
      </w:r>
      <w:bookmarkEnd w:id="290"/>
      <w:bookmarkEnd w:id="291"/>
      <w:bookmarkEnd w:id="292"/>
    </w:p>
    <w:p w14:paraId="5307957D">
      <w:pPr>
        <w:adjustRightInd w:val="0"/>
        <w:snapToGrid w:val="0"/>
        <w:spacing w:line="500" w:lineRule="exact"/>
        <w:ind w:firstLine="600" w:firstLineChars="200"/>
        <w:rPr>
          <w:rFonts w:ascii="Times New Roman" w:hAnsi="Times New Roman" w:eastAsia="仿宋_GB2312" w:cs="Times New Roman"/>
          <w:sz w:val="30"/>
          <w:szCs w:val="30"/>
          <w:lang w:val="zh-CN"/>
        </w:rPr>
      </w:pPr>
      <w:r>
        <w:rPr>
          <w:rFonts w:ascii="Times New Roman" w:hAnsi="Times New Roman" w:eastAsia="仿宋_GB2312" w:cs="Times New Roman"/>
          <w:sz w:val="30"/>
          <w:szCs w:val="30"/>
          <w:lang w:val="zh-CN"/>
        </w:rPr>
        <w:t>加大生态文明建设投入力度，建立稳定增长的财政投入机制。把环保投入作为公共财政支出的重点，把生态文明建设公益性部分建设经费列入财政预算。增加政府的预算内资金，用于发展城镇污水处理、垃圾处理等公益事业，并安排专项资金进行开展</w:t>
      </w:r>
      <w:r>
        <w:rPr>
          <w:rFonts w:ascii="Times New Roman" w:hAnsi="Times New Roman" w:eastAsia="仿宋_GB2312" w:cs="Times New Roman"/>
          <w:sz w:val="30"/>
          <w:szCs w:val="30"/>
        </w:rPr>
        <w:t>绿色</w:t>
      </w:r>
      <w:r>
        <w:rPr>
          <w:rFonts w:ascii="Times New Roman" w:hAnsi="Times New Roman" w:eastAsia="仿宋_GB2312" w:cs="Times New Roman"/>
          <w:sz w:val="30"/>
          <w:szCs w:val="30"/>
          <w:lang w:val="zh-CN"/>
        </w:rPr>
        <w:t>产业、生态环境、</w:t>
      </w:r>
      <w:r>
        <w:rPr>
          <w:rFonts w:ascii="Times New Roman" w:hAnsi="Times New Roman" w:eastAsia="仿宋_GB2312" w:cs="Times New Roman"/>
          <w:sz w:val="30"/>
          <w:szCs w:val="30"/>
        </w:rPr>
        <w:t>生态社会</w:t>
      </w:r>
      <w:r>
        <w:rPr>
          <w:rFonts w:ascii="Times New Roman" w:hAnsi="Times New Roman" w:eastAsia="仿宋_GB2312" w:cs="Times New Roman"/>
          <w:sz w:val="30"/>
          <w:szCs w:val="30"/>
          <w:lang w:val="zh-CN"/>
        </w:rPr>
        <w:t>、</w:t>
      </w:r>
      <w:r>
        <w:rPr>
          <w:rFonts w:ascii="Times New Roman" w:hAnsi="Times New Roman" w:eastAsia="仿宋_GB2312" w:cs="Times New Roman"/>
          <w:sz w:val="30"/>
          <w:szCs w:val="30"/>
        </w:rPr>
        <w:t>生态文化</w:t>
      </w:r>
      <w:r>
        <w:rPr>
          <w:rFonts w:ascii="Times New Roman" w:hAnsi="Times New Roman" w:eastAsia="仿宋_GB2312" w:cs="Times New Roman"/>
          <w:sz w:val="30"/>
          <w:szCs w:val="30"/>
          <w:lang w:val="zh-CN"/>
        </w:rPr>
        <w:t>的示范项目。加强生态文明建设项目资金的审计和监管工作，统筹建设资金，确保建设目标和重点项目按计划推进。拓展融资渠道，充分发挥政府投入对生态文明建设的引导性作用，设立生态文明建设专项资金，专门用于生态文明建设的重大建设项目。创新政府资金投入方式，采取以奖代补、贷款贴息等多种形式用于支持生态文明标志性工程的建设。进一步整合各方资源，把不同渠道的政府性资金直接、间接投入到生态文明建设上，并拓展生态文明建设的投融资渠道，吸引更多社会资金参与生态文明建设，扩大政府资金的引导效应。</w:t>
      </w:r>
    </w:p>
    <w:p w14:paraId="64FEBA71">
      <w:pPr>
        <w:spacing w:line="580" w:lineRule="exact"/>
        <w:jc w:val="center"/>
        <w:outlineLvl w:val="1"/>
        <w:rPr>
          <w:rFonts w:ascii="Times New Roman" w:hAnsi="Times New Roman" w:eastAsia="黑体" w:cs="Times New Roman"/>
          <w:bCs/>
          <w:sz w:val="32"/>
          <w:szCs w:val="32"/>
        </w:rPr>
      </w:pPr>
      <w:bookmarkStart w:id="293" w:name="_Toc25447"/>
      <w:bookmarkStart w:id="294" w:name="_Toc13418"/>
      <w:bookmarkStart w:id="295" w:name="_Toc528335107"/>
      <w:r>
        <w:rPr>
          <w:rFonts w:ascii="Times New Roman" w:hAnsi="Times New Roman" w:eastAsia="黑体" w:cs="Times New Roman"/>
          <w:bCs/>
          <w:sz w:val="32"/>
          <w:szCs w:val="32"/>
        </w:rPr>
        <w:t>第四节  推广</w:t>
      </w:r>
      <w:r>
        <w:rPr>
          <w:rFonts w:ascii="Times New Roman" w:hAnsi="Times New Roman" w:eastAsia="黑体" w:cs="Times New Roman"/>
          <w:bCs/>
          <w:sz w:val="32"/>
          <w:szCs w:val="32"/>
          <w:lang w:val="zh-CN"/>
        </w:rPr>
        <w:t>科技</w:t>
      </w:r>
      <w:r>
        <w:rPr>
          <w:rFonts w:ascii="Times New Roman" w:hAnsi="Times New Roman" w:eastAsia="黑体" w:cs="Times New Roman"/>
          <w:bCs/>
          <w:sz w:val="32"/>
          <w:szCs w:val="32"/>
        </w:rPr>
        <w:t>创新</w:t>
      </w:r>
      <w:bookmarkEnd w:id="293"/>
      <w:bookmarkEnd w:id="294"/>
      <w:bookmarkEnd w:id="295"/>
    </w:p>
    <w:p w14:paraId="1B437FAF">
      <w:pPr>
        <w:adjustRightInd w:val="0"/>
        <w:snapToGrid w:val="0"/>
        <w:spacing w:line="500" w:lineRule="exact"/>
        <w:ind w:firstLine="600" w:firstLineChars="200"/>
        <w:rPr>
          <w:rFonts w:ascii="Times New Roman" w:hAnsi="Times New Roman" w:eastAsia="仿宋_GB2312" w:cs="Times New Roman"/>
          <w:sz w:val="30"/>
          <w:szCs w:val="30"/>
          <w:lang w:val="zh-CN"/>
        </w:rPr>
      </w:pPr>
      <w:r>
        <w:rPr>
          <w:rFonts w:ascii="Times New Roman" w:hAnsi="Times New Roman" w:eastAsia="仿宋_GB2312" w:cs="Times New Roman"/>
          <w:sz w:val="30"/>
          <w:szCs w:val="30"/>
          <w:lang w:val="zh-CN"/>
        </w:rPr>
        <w:t>生态文明建设需要强化科技的推动作用，应积极营造人才发展的良好环境，创新人才激励机制，加大生态环境保护所需高学历人才的引进。在清洁生产、生态环境保护、资源综合利用与废物资源化、生态产业等方面，积极开发、引进和推广应用各类新技术、新工艺、新产品。建立完善的激励机制，设立</w:t>
      </w:r>
      <w:r>
        <w:rPr>
          <w:rFonts w:hint="eastAsia" w:ascii="Times New Roman" w:hAnsi="Times New Roman" w:eastAsia="仿宋_GB2312" w:cs="Times New Roman"/>
          <w:sz w:val="30"/>
          <w:szCs w:val="30"/>
          <w:lang w:val="zh-CN"/>
        </w:rPr>
        <w:t>洛隆</w:t>
      </w:r>
      <w:r>
        <w:rPr>
          <w:rFonts w:ascii="Times New Roman" w:hAnsi="Times New Roman" w:eastAsia="仿宋_GB2312" w:cs="Times New Roman"/>
          <w:sz w:val="30"/>
          <w:szCs w:val="30"/>
          <w:lang w:val="zh-CN"/>
        </w:rPr>
        <w:t>县生态环境专项基金，促进科技人员的技术创新。加强生态文明理论和方法体系、管理和技术方法的研究，加强生态文明示范县建设的科学对策与措施。营造绿色科技创新环境，加强绿色科技研究开发，推进环境治理关键技术突破，完善产学研结合体系，推广应用绿色科技成果。积极引进开发水能、地热能等清洁能源的新技术。深化绿色建筑等科技应用。提升防沙治沙、水土流失治理、退化草地治理等生态环境保护与修复技术应用水平。</w:t>
      </w:r>
    </w:p>
    <w:p w14:paraId="07860F01">
      <w:pPr>
        <w:spacing w:line="580" w:lineRule="exact"/>
        <w:jc w:val="center"/>
        <w:outlineLvl w:val="1"/>
        <w:rPr>
          <w:rFonts w:ascii="Times New Roman" w:hAnsi="Times New Roman" w:eastAsia="黑体" w:cs="Times New Roman"/>
          <w:bCs/>
          <w:sz w:val="32"/>
          <w:szCs w:val="32"/>
        </w:rPr>
      </w:pPr>
      <w:bookmarkStart w:id="296" w:name="_Toc6602"/>
      <w:bookmarkStart w:id="297" w:name="_Toc9208"/>
      <w:bookmarkStart w:id="298" w:name="_Toc528335108"/>
      <w:r>
        <w:rPr>
          <w:rFonts w:ascii="Times New Roman" w:hAnsi="Times New Roman" w:eastAsia="黑体" w:cs="Times New Roman"/>
          <w:bCs/>
          <w:sz w:val="32"/>
          <w:szCs w:val="32"/>
        </w:rPr>
        <w:t>第五节  扩大舆论宣传</w:t>
      </w:r>
      <w:bookmarkEnd w:id="296"/>
      <w:bookmarkEnd w:id="297"/>
      <w:bookmarkEnd w:id="298"/>
    </w:p>
    <w:p w14:paraId="3CFA5635">
      <w:pPr>
        <w:adjustRightInd w:val="0"/>
        <w:snapToGrid w:val="0"/>
        <w:spacing w:line="500"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抓紧制定实施《生态文明建设宣传方案》，创新载体，多渠道、多层次、多形式地开展生态文明建设的舆论宣传和生态环境教育和科普宣传教育，在全社会形成了解规划、关心规划、自觉参与规划实施的氛围，动员全社会力量积极参与生态文明建设。</w:t>
      </w:r>
    </w:p>
    <w:p w14:paraId="6AC9F59C">
      <w:pPr>
        <w:adjustRightInd w:val="0"/>
        <w:snapToGrid w:val="0"/>
        <w:spacing w:line="500" w:lineRule="exact"/>
        <w:ind w:firstLine="600" w:firstLineChars="200"/>
        <w:rPr>
          <w:rFonts w:ascii="Times New Roman" w:hAnsi="Times New Roman" w:eastAsia="仿宋_GB2312" w:cs="Times New Roman"/>
          <w:sz w:val="30"/>
          <w:szCs w:val="30"/>
        </w:rPr>
      </w:pPr>
    </w:p>
    <w:p w14:paraId="75B31736">
      <w:pPr>
        <w:adjustRightInd w:val="0"/>
        <w:snapToGrid w:val="0"/>
        <w:spacing w:line="500" w:lineRule="exact"/>
        <w:ind w:firstLine="600" w:firstLineChars="200"/>
        <w:rPr>
          <w:rFonts w:ascii="Times New Roman" w:hAnsi="Times New Roman" w:eastAsia="仿宋_GB2312" w:cs="Times New Roman"/>
          <w:sz w:val="30"/>
          <w:szCs w:val="30"/>
          <w:lang w:val="zh-CN"/>
        </w:rPr>
        <w:sectPr>
          <w:pgSz w:w="11906" w:h="16838"/>
          <w:pgMar w:top="1440" w:right="1797" w:bottom="1440" w:left="1797" w:header="851" w:footer="992" w:gutter="0"/>
          <w:cols w:space="425" w:num="1"/>
          <w:docGrid w:type="linesAndChars" w:linePitch="312" w:charSpace="0"/>
        </w:sectPr>
      </w:pPr>
    </w:p>
    <w:p w14:paraId="1890DD4C">
      <w:pPr>
        <w:pageBreakBefore/>
        <w:spacing w:before="319" w:beforeLines="100" w:line="579" w:lineRule="auto"/>
        <w:jc w:val="left"/>
        <w:outlineLvl w:val="0"/>
        <w:rPr>
          <w:rFonts w:eastAsia="黑体" w:cs="Times New Roman"/>
          <w:b/>
          <w:bCs/>
          <w:kern w:val="44"/>
          <w:sz w:val="32"/>
          <w:szCs w:val="40"/>
        </w:rPr>
      </w:pPr>
      <w:bookmarkStart w:id="299" w:name="_Toc9400"/>
      <w:bookmarkStart w:id="300" w:name="_Toc105576384"/>
      <w:r>
        <w:rPr>
          <w:rFonts w:hint="eastAsia" w:eastAsia="黑体" w:cs="Times New Roman"/>
          <w:b/>
          <w:bCs/>
          <w:kern w:val="44"/>
          <w:sz w:val="32"/>
          <w:szCs w:val="40"/>
        </w:rPr>
        <w:t>附表一  生态空间体系重点工程</w:t>
      </w:r>
      <w:bookmarkEnd w:id="299"/>
      <w:bookmarkEnd w:id="300"/>
    </w:p>
    <w:tbl>
      <w:tblPr>
        <w:tblStyle w:val="42"/>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0"/>
        <w:gridCol w:w="1425"/>
        <w:gridCol w:w="873"/>
        <w:gridCol w:w="7216"/>
        <w:gridCol w:w="1190"/>
        <w:gridCol w:w="816"/>
        <w:gridCol w:w="1176"/>
        <w:gridCol w:w="1037"/>
      </w:tblGrid>
      <w:tr w14:paraId="30386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2" w:type="pct"/>
            <w:shd w:val="clear" w:color="000000" w:fill="FFFFFF"/>
            <w:vAlign w:val="center"/>
          </w:tcPr>
          <w:p w14:paraId="08867418">
            <w:pPr>
              <w:snapToGrid w:val="0"/>
              <w:jc w:val="center"/>
              <w:rPr>
                <w:rFonts w:ascii="宋体" w:hAnsi="宋体" w:eastAsia="宋体"/>
                <w:b/>
                <w:bCs/>
                <w:kern w:val="0"/>
                <w:szCs w:val="21"/>
              </w:rPr>
            </w:pPr>
            <w:r>
              <w:rPr>
                <w:rFonts w:hint="eastAsia" w:ascii="宋体" w:hAnsi="宋体" w:eastAsia="宋体"/>
                <w:b/>
                <w:bCs/>
                <w:kern w:val="0"/>
                <w:szCs w:val="21"/>
              </w:rPr>
              <w:t>序</w:t>
            </w:r>
          </w:p>
          <w:p w14:paraId="29207B23">
            <w:pPr>
              <w:snapToGrid w:val="0"/>
              <w:jc w:val="center"/>
              <w:rPr>
                <w:rFonts w:ascii="宋体" w:hAnsi="宋体" w:eastAsia="宋体"/>
                <w:b/>
                <w:bCs/>
                <w:kern w:val="0"/>
                <w:szCs w:val="21"/>
              </w:rPr>
            </w:pPr>
            <w:r>
              <w:rPr>
                <w:rFonts w:hint="eastAsia" w:ascii="宋体" w:hAnsi="宋体" w:eastAsia="宋体"/>
                <w:b/>
                <w:bCs/>
                <w:kern w:val="0"/>
                <w:szCs w:val="21"/>
              </w:rPr>
              <w:t>号</w:t>
            </w:r>
          </w:p>
        </w:tc>
        <w:tc>
          <w:tcPr>
            <w:tcW w:w="503" w:type="pct"/>
            <w:shd w:val="clear" w:color="000000" w:fill="FFFFFF"/>
            <w:vAlign w:val="center"/>
          </w:tcPr>
          <w:p w14:paraId="5E20ACF4">
            <w:pPr>
              <w:snapToGrid w:val="0"/>
              <w:jc w:val="center"/>
              <w:rPr>
                <w:rFonts w:ascii="宋体" w:hAnsi="宋体" w:eastAsia="宋体"/>
                <w:b/>
                <w:bCs/>
                <w:kern w:val="0"/>
                <w:szCs w:val="21"/>
              </w:rPr>
            </w:pPr>
            <w:r>
              <w:rPr>
                <w:rFonts w:hint="eastAsia" w:ascii="宋体" w:hAnsi="宋体" w:eastAsia="宋体"/>
                <w:b/>
                <w:bCs/>
                <w:kern w:val="0"/>
                <w:szCs w:val="21"/>
              </w:rPr>
              <w:t>项目名称</w:t>
            </w:r>
          </w:p>
        </w:tc>
        <w:tc>
          <w:tcPr>
            <w:tcW w:w="308" w:type="pct"/>
            <w:shd w:val="clear" w:color="000000" w:fill="FFFFFF"/>
            <w:vAlign w:val="center"/>
          </w:tcPr>
          <w:p w14:paraId="2697F22C">
            <w:pPr>
              <w:snapToGrid w:val="0"/>
              <w:jc w:val="center"/>
              <w:rPr>
                <w:rFonts w:ascii="宋体" w:hAnsi="宋体" w:eastAsia="宋体"/>
                <w:b/>
                <w:bCs/>
                <w:kern w:val="0"/>
                <w:szCs w:val="21"/>
              </w:rPr>
            </w:pPr>
            <w:r>
              <w:rPr>
                <w:rFonts w:hint="eastAsia" w:ascii="宋体" w:hAnsi="宋体" w:eastAsia="宋体"/>
                <w:b/>
                <w:bCs/>
                <w:kern w:val="0"/>
                <w:szCs w:val="21"/>
              </w:rPr>
              <w:t>建设</w:t>
            </w:r>
          </w:p>
          <w:p w14:paraId="2E323A2F">
            <w:pPr>
              <w:snapToGrid w:val="0"/>
              <w:jc w:val="center"/>
              <w:rPr>
                <w:rFonts w:ascii="宋体" w:hAnsi="宋体" w:eastAsia="宋体"/>
                <w:b/>
                <w:bCs/>
                <w:kern w:val="0"/>
                <w:szCs w:val="21"/>
              </w:rPr>
            </w:pPr>
            <w:r>
              <w:rPr>
                <w:rFonts w:hint="eastAsia" w:ascii="宋体" w:hAnsi="宋体" w:eastAsia="宋体"/>
                <w:b/>
                <w:bCs/>
                <w:kern w:val="0"/>
                <w:szCs w:val="21"/>
              </w:rPr>
              <w:t>性质</w:t>
            </w:r>
          </w:p>
        </w:tc>
        <w:tc>
          <w:tcPr>
            <w:tcW w:w="2546" w:type="pct"/>
            <w:shd w:val="clear" w:color="000000" w:fill="FFFFFF"/>
            <w:vAlign w:val="center"/>
          </w:tcPr>
          <w:p w14:paraId="57EED964">
            <w:pPr>
              <w:snapToGrid w:val="0"/>
              <w:jc w:val="center"/>
              <w:rPr>
                <w:rFonts w:ascii="宋体" w:hAnsi="宋体" w:eastAsia="宋体"/>
                <w:b/>
                <w:bCs/>
                <w:kern w:val="0"/>
                <w:szCs w:val="21"/>
              </w:rPr>
            </w:pPr>
            <w:r>
              <w:rPr>
                <w:rFonts w:hint="eastAsia" w:ascii="宋体" w:hAnsi="宋体" w:eastAsia="宋体"/>
                <w:b/>
                <w:bCs/>
                <w:kern w:val="0"/>
                <w:szCs w:val="21"/>
              </w:rPr>
              <w:t>建设内容和规模</w:t>
            </w:r>
          </w:p>
        </w:tc>
        <w:tc>
          <w:tcPr>
            <w:tcW w:w="420" w:type="pct"/>
            <w:shd w:val="clear" w:color="000000" w:fill="FFFFFF"/>
            <w:vAlign w:val="center"/>
          </w:tcPr>
          <w:p w14:paraId="0116B3A3">
            <w:pPr>
              <w:snapToGrid w:val="0"/>
              <w:jc w:val="center"/>
              <w:rPr>
                <w:rFonts w:ascii="宋体" w:hAnsi="宋体" w:eastAsia="宋体"/>
                <w:b/>
                <w:bCs/>
                <w:kern w:val="0"/>
                <w:szCs w:val="21"/>
              </w:rPr>
            </w:pPr>
            <w:r>
              <w:rPr>
                <w:rFonts w:hint="eastAsia" w:ascii="宋体" w:hAnsi="宋体" w:eastAsia="宋体"/>
                <w:b/>
                <w:bCs/>
                <w:kern w:val="0"/>
                <w:szCs w:val="21"/>
              </w:rPr>
              <w:t>建设期限</w:t>
            </w:r>
          </w:p>
        </w:tc>
        <w:tc>
          <w:tcPr>
            <w:tcW w:w="288" w:type="pct"/>
            <w:shd w:val="clear" w:color="000000" w:fill="FFFFFF"/>
            <w:vAlign w:val="center"/>
          </w:tcPr>
          <w:p w14:paraId="5EF633AD">
            <w:pPr>
              <w:snapToGrid w:val="0"/>
              <w:jc w:val="center"/>
              <w:rPr>
                <w:rFonts w:ascii="宋体" w:hAnsi="宋体" w:eastAsia="宋体"/>
                <w:b/>
                <w:bCs/>
                <w:kern w:val="0"/>
                <w:szCs w:val="21"/>
              </w:rPr>
            </w:pPr>
            <w:r>
              <w:rPr>
                <w:rFonts w:hint="eastAsia" w:ascii="宋体" w:hAnsi="宋体" w:eastAsia="宋体"/>
                <w:b/>
                <w:bCs/>
                <w:kern w:val="0"/>
                <w:szCs w:val="21"/>
              </w:rPr>
              <w:t>建设地点</w:t>
            </w:r>
          </w:p>
        </w:tc>
        <w:tc>
          <w:tcPr>
            <w:tcW w:w="415" w:type="pct"/>
            <w:shd w:val="clear" w:color="000000" w:fill="FFFFFF"/>
            <w:vAlign w:val="center"/>
          </w:tcPr>
          <w:p w14:paraId="26296E49">
            <w:pPr>
              <w:snapToGrid w:val="0"/>
              <w:jc w:val="center"/>
              <w:rPr>
                <w:rFonts w:ascii="宋体" w:hAnsi="宋体" w:eastAsia="宋体"/>
                <w:b/>
                <w:bCs/>
                <w:kern w:val="0"/>
                <w:szCs w:val="21"/>
              </w:rPr>
            </w:pPr>
            <w:r>
              <w:rPr>
                <w:rFonts w:hint="eastAsia" w:ascii="宋体" w:hAnsi="宋体" w:eastAsia="宋体"/>
                <w:b/>
                <w:bCs/>
                <w:kern w:val="0"/>
                <w:szCs w:val="21"/>
              </w:rPr>
              <w:t>总投资</w:t>
            </w:r>
          </w:p>
          <w:p w14:paraId="1E789DD2">
            <w:pPr>
              <w:snapToGrid w:val="0"/>
              <w:jc w:val="center"/>
              <w:rPr>
                <w:rFonts w:ascii="宋体" w:hAnsi="宋体" w:eastAsia="宋体"/>
                <w:szCs w:val="21"/>
              </w:rPr>
            </w:pPr>
            <w:r>
              <w:rPr>
                <w:rFonts w:hint="eastAsia" w:ascii="宋体" w:hAnsi="宋体" w:eastAsia="宋体"/>
                <w:b/>
                <w:bCs/>
                <w:kern w:val="0"/>
                <w:szCs w:val="21"/>
              </w:rPr>
              <w:t>（万元）</w:t>
            </w:r>
          </w:p>
        </w:tc>
        <w:tc>
          <w:tcPr>
            <w:tcW w:w="366" w:type="pct"/>
            <w:shd w:val="clear" w:color="000000" w:fill="FFFFFF"/>
            <w:vAlign w:val="center"/>
          </w:tcPr>
          <w:p w14:paraId="144B36B7">
            <w:pPr>
              <w:snapToGrid w:val="0"/>
              <w:jc w:val="center"/>
              <w:rPr>
                <w:rFonts w:ascii="宋体" w:hAnsi="宋体" w:eastAsia="宋体"/>
                <w:b/>
                <w:bCs/>
                <w:kern w:val="0"/>
                <w:szCs w:val="21"/>
              </w:rPr>
            </w:pPr>
            <w:r>
              <w:rPr>
                <w:rFonts w:hint="eastAsia" w:ascii="宋体" w:hAnsi="宋体" w:eastAsia="宋体"/>
                <w:b/>
                <w:bCs/>
                <w:kern w:val="0"/>
                <w:szCs w:val="21"/>
              </w:rPr>
              <w:t>责任</w:t>
            </w:r>
          </w:p>
          <w:p w14:paraId="247ED184">
            <w:pPr>
              <w:snapToGrid w:val="0"/>
              <w:jc w:val="center"/>
              <w:rPr>
                <w:rFonts w:ascii="宋体" w:hAnsi="宋体" w:eastAsia="宋体"/>
                <w:b/>
                <w:bCs/>
                <w:kern w:val="0"/>
                <w:szCs w:val="21"/>
              </w:rPr>
            </w:pPr>
            <w:r>
              <w:rPr>
                <w:rFonts w:hint="eastAsia" w:ascii="宋体" w:hAnsi="宋体" w:eastAsia="宋体"/>
                <w:b/>
                <w:bCs/>
                <w:kern w:val="0"/>
                <w:szCs w:val="21"/>
              </w:rPr>
              <w:t>单位</w:t>
            </w:r>
          </w:p>
        </w:tc>
      </w:tr>
      <w:tr w14:paraId="5372A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 w:type="pct"/>
            <w:shd w:val="clear" w:color="auto" w:fill="auto"/>
            <w:vAlign w:val="center"/>
          </w:tcPr>
          <w:p w14:paraId="002A88B4">
            <w:pPr>
              <w:snapToGrid w:val="0"/>
              <w:rPr>
                <w:rFonts w:ascii="宋体" w:hAnsi="宋体" w:eastAsia="宋体"/>
                <w:kern w:val="0"/>
                <w:szCs w:val="21"/>
              </w:rPr>
            </w:pPr>
            <w:r>
              <w:rPr>
                <w:rFonts w:hint="eastAsia" w:ascii="宋体" w:hAnsi="宋体" w:eastAsia="宋体"/>
                <w:kern w:val="0"/>
                <w:szCs w:val="21"/>
              </w:rPr>
              <w:t>1</w:t>
            </w:r>
          </w:p>
        </w:tc>
        <w:tc>
          <w:tcPr>
            <w:tcW w:w="503" w:type="pct"/>
            <w:shd w:val="clear" w:color="000000" w:fill="FFFFFF"/>
            <w:vAlign w:val="center"/>
          </w:tcPr>
          <w:p w14:paraId="7ACB1E4E">
            <w:pPr>
              <w:snapToGrid w:val="0"/>
              <w:jc w:val="center"/>
              <w:rPr>
                <w:rFonts w:ascii="宋体" w:hAnsi="宋体" w:eastAsia="宋体"/>
                <w:kern w:val="0"/>
                <w:szCs w:val="21"/>
              </w:rPr>
            </w:pPr>
            <w:r>
              <w:rPr>
                <w:rFonts w:hint="eastAsia" w:ascii="宋体" w:hAnsi="宋体" w:eastAsia="宋体"/>
                <w:kern w:val="0"/>
                <w:szCs w:val="21"/>
              </w:rPr>
              <w:t>编制《洛隆县国土空间规划》</w:t>
            </w:r>
          </w:p>
        </w:tc>
        <w:tc>
          <w:tcPr>
            <w:tcW w:w="308" w:type="pct"/>
            <w:shd w:val="clear" w:color="000000" w:fill="FFFFFF"/>
            <w:vAlign w:val="center"/>
          </w:tcPr>
          <w:p w14:paraId="5D568A06">
            <w:pPr>
              <w:snapToGrid w:val="0"/>
              <w:jc w:val="center"/>
              <w:rPr>
                <w:rFonts w:ascii="宋体" w:hAnsi="宋体" w:eastAsia="宋体"/>
                <w:kern w:val="0"/>
                <w:szCs w:val="21"/>
              </w:rPr>
            </w:pPr>
            <w:r>
              <w:rPr>
                <w:rFonts w:hint="eastAsia" w:ascii="宋体" w:hAnsi="宋体" w:eastAsia="宋体"/>
                <w:kern w:val="0"/>
                <w:szCs w:val="21"/>
              </w:rPr>
              <w:t>新建</w:t>
            </w:r>
          </w:p>
        </w:tc>
        <w:tc>
          <w:tcPr>
            <w:tcW w:w="2546" w:type="pct"/>
            <w:shd w:val="clear" w:color="000000" w:fill="FFFFFF"/>
            <w:vAlign w:val="center"/>
          </w:tcPr>
          <w:p w14:paraId="5BFA01C9">
            <w:pPr>
              <w:snapToGrid w:val="0"/>
              <w:jc w:val="center"/>
              <w:rPr>
                <w:rFonts w:ascii="宋体" w:hAnsi="宋体" w:eastAsia="宋体"/>
                <w:kern w:val="0"/>
                <w:szCs w:val="21"/>
              </w:rPr>
            </w:pPr>
            <w:r>
              <w:rPr>
                <w:rFonts w:hint="eastAsia" w:ascii="宋体" w:hAnsi="宋体" w:eastAsia="宋体"/>
                <w:kern w:val="0"/>
                <w:szCs w:val="21"/>
              </w:rPr>
              <w:t>按照自然资源部发布的《资源环境承载能力和国土空间开发适宜性评价指南》，开展洛隆县资源环境承载能力及国土空间开发适应性评价，编制《洛隆县国土空间规划》。</w:t>
            </w:r>
          </w:p>
        </w:tc>
        <w:tc>
          <w:tcPr>
            <w:tcW w:w="420" w:type="pct"/>
            <w:vAlign w:val="center"/>
          </w:tcPr>
          <w:p w14:paraId="212374A8">
            <w:pPr>
              <w:snapToGrid w:val="0"/>
              <w:jc w:val="center"/>
              <w:rPr>
                <w:rFonts w:ascii="宋体" w:hAnsi="宋体" w:eastAsia="宋体"/>
                <w:kern w:val="0"/>
                <w:szCs w:val="21"/>
              </w:rPr>
            </w:pPr>
            <w:r>
              <w:rPr>
                <w:rFonts w:hint="eastAsia" w:ascii="宋体" w:hAnsi="宋体" w:eastAsia="宋体"/>
                <w:kern w:val="0"/>
                <w:szCs w:val="21"/>
              </w:rPr>
              <w:t>2022~2025</w:t>
            </w:r>
          </w:p>
        </w:tc>
        <w:tc>
          <w:tcPr>
            <w:tcW w:w="288" w:type="pct"/>
            <w:vAlign w:val="center"/>
          </w:tcPr>
          <w:p w14:paraId="683F1570">
            <w:pPr>
              <w:snapToGrid w:val="0"/>
              <w:jc w:val="center"/>
              <w:rPr>
                <w:rFonts w:ascii="宋体" w:hAnsi="宋体" w:eastAsia="宋体"/>
                <w:kern w:val="0"/>
                <w:szCs w:val="21"/>
              </w:rPr>
            </w:pPr>
            <w:r>
              <w:rPr>
                <w:rFonts w:hint="eastAsia" w:ascii="宋体" w:hAnsi="宋体" w:eastAsia="宋体"/>
                <w:kern w:val="0"/>
                <w:szCs w:val="21"/>
              </w:rPr>
              <w:t>全县</w:t>
            </w:r>
          </w:p>
        </w:tc>
        <w:tc>
          <w:tcPr>
            <w:tcW w:w="415" w:type="pct"/>
            <w:noWrap/>
            <w:vAlign w:val="center"/>
          </w:tcPr>
          <w:p w14:paraId="572663AB">
            <w:pPr>
              <w:snapToGrid w:val="0"/>
              <w:jc w:val="center"/>
              <w:rPr>
                <w:rFonts w:ascii="宋体" w:hAnsi="宋体" w:eastAsia="宋体"/>
                <w:kern w:val="0"/>
                <w:szCs w:val="21"/>
              </w:rPr>
            </w:pPr>
            <w:r>
              <w:rPr>
                <w:rFonts w:hint="eastAsia" w:ascii="宋体" w:hAnsi="宋体" w:eastAsia="宋体"/>
                <w:kern w:val="0"/>
                <w:szCs w:val="21"/>
              </w:rPr>
              <w:t>600</w:t>
            </w:r>
          </w:p>
        </w:tc>
        <w:tc>
          <w:tcPr>
            <w:tcW w:w="366" w:type="pct"/>
            <w:vAlign w:val="center"/>
          </w:tcPr>
          <w:p w14:paraId="76CA8C3B">
            <w:pPr>
              <w:snapToGrid w:val="0"/>
              <w:jc w:val="center"/>
              <w:rPr>
                <w:rFonts w:ascii="宋体" w:hAnsi="宋体" w:eastAsia="宋体"/>
                <w:kern w:val="0"/>
                <w:szCs w:val="21"/>
              </w:rPr>
            </w:pPr>
            <w:r>
              <w:rPr>
                <w:rFonts w:hint="eastAsia" w:ascii="宋体" w:hAnsi="宋体" w:eastAsia="宋体"/>
                <w:kern w:val="0"/>
                <w:szCs w:val="21"/>
              </w:rPr>
              <w:t>县自然资源局</w:t>
            </w:r>
          </w:p>
        </w:tc>
      </w:tr>
      <w:tr w14:paraId="035F2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 w:type="pct"/>
            <w:shd w:val="clear" w:color="auto" w:fill="auto"/>
            <w:vAlign w:val="center"/>
          </w:tcPr>
          <w:p w14:paraId="71D56C5F">
            <w:pPr>
              <w:snapToGrid w:val="0"/>
              <w:rPr>
                <w:rFonts w:ascii="宋体" w:hAnsi="宋体" w:eastAsia="宋体"/>
                <w:kern w:val="0"/>
                <w:szCs w:val="21"/>
              </w:rPr>
            </w:pPr>
            <w:r>
              <w:rPr>
                <w:rFonts w:hint="eastAsia" w:ascii="宋体" w:hAnsi="宋体" w:eastAsia="宋体"/>
                <w:kern w:val="0"/>
                <w:szCs w:val="21"/>
              </w:rPr>
              <w:t>2</w:t>
            </w:r>
          </w:p>
        </w:tc>
        <w:tc>
          <w:tcPr>
            <w:tcW w:w="503" w:type="pct"/>
            <w:shd w:val="clear" w:color="000000" w:fill="FFFFFF"/>
            <w:vAlign w:val="center"/>
          </w:tcPr>
          <w:p w14:paraId="23AB69F5">
            <w:pPr>
              <w:snapToGrid w:val="0"/>
              <w:jc w:val="center"/>
              <w:rPr>
                <w:rFonts w:ascii="宋体" w:hAnsi="宋体" w:eastAsia="宋体"/>
                <w:kern w:val="0"/>
                <w:szCs w:val="21"/>
              </w:rPr>
            </w:pPr>
            <w:r>
              <w:rPr>
                <w:rFonts w:hint="eastAsia" w:ascii="宋体" w:hAnsi="宋体" w:eastAsia="宋体"/>
                <w:kern w:val="0"/>
                <w:szCs w:val="21"/>
              </w:rPr>
              <w:t>编制洛隆县乡村国土空间规划和片区相关专规</w:t>
            </w:r>
          </w:p>
        </w:tc>
        <w:tc>
          <w:tcPr>
            <w:tcW w:w="308" w:type="pct"/>
            <w:shd w:val="clear" w:color="000000" w:fill="FFFFFF"/>
            <w:vAlign w:val="center"/>
          </w:tcPr>
          <w:p w14:paraId="020C8FC9">
            <w:pPr>
              <w:snapToGrid w:val="0"/>
              <w:jc w:val="center"/>
              <w:rPr>
                <w:rFonts w:ascii="宋体" w:hAnsi="宋体" w:eastAsia="宋体"/>
                <w:kern w:val="0"/>
                <w:szCs w:val="21"/>
              </w:rPr>
            </w:pPr>
            <w:r>
              <w:rPr>
                <w:rFonts w:hint="eastAsia" w:ascii="宋体" w:hAnsi="宋体" w:eastAsia="宋体"/>
                <w:kern w:val="0"/>
                <w:szCs w:val="21"/>
              </w:rPr>
              <w:t>新建</w:t>
            </w:r>
          </w:p>
        </w:tc>
        <w:tc>
          <w:tcPr>
            <w:tcW w:w="2546" w:type="pct"/>
            <w:shd w:val="clear" w:color="000000" w:fill="FFFFFF"/>
            <w:vAlign w:val="center"/>
          </w:tcPr>
          <w:p w14:paraId="36F4B2D7">
            <w:pPr>
              <w:snapToGrid w:val="0"/>
              <w:jc w:val="center"/>
              <w:rPr>
                <w:rFonts w:ascii="宋体" w:hAnsi="宋体" w:eastAsia="宋体"/>
                <w:kern w:val="0"/>
                <w:szCs w:val="21"/>
              </w:rPr>
            </w:pPr>
            <w:r>
              <w:rPr>
                <w:rFonts w:hint="eastAsia" w:ascii="宋体" w:hAnsi="宋体" w:eastAsia="宋体"/>
                <w:kern w:val="0"/>
                <w:szCs w:val="21"/>
              </w:rPr>
              <w:t>落实全省统筹推进乡村国土空间规划编制和两项改革“后半篇”文章工作会议精神，协调推进乡村国土空间规划和片区相关专项规划编制。</w:t>
            </w:r>
          </w:p>
        </w:tc>
        <w:tc>
          <w:tcPr>
            <w:tcW w:w="420" w:type="pct"/>
            <w:vAlign w:val="center"/>
          </w:tcPr>
          <w:p w14:paraId="647DAB03">
            <w:pPr>
              <w:snapToGrid w:val="0"/>
              <w:jc w:val="center"/>
              <w:rPr>
                <w:rFonts w:ascii="宋体" w:hAnsi="宋体" w:eastAsia="宋体"/>
                <w:kern w:val="0"/>
                <w:szCs w:val="21"/>
              </w:rPr>
            </w:pPr>
            <w:r>
              <w:rPr>
                <w:rFonts w:hint="eastAsia" w:ascii="宋体" w:hAnsi="宋体" w:eastAsia="宋体"/>
                <w:kern w:val="0"/>
                <w:szCs w:val="21"/>
              </w:rPr>
              <w:t>2022~2025</w:t>
            </w:r>
          </w:p>
        </w:tc>
        <w:tc>
          <w:tcPr>
            <w:tcW w:w="288" w:type="pct"/>
            <w:vAlign w:val="center"/>
          </w:tcPr>
          <w:p w14:paraId="441678D1">
            <w:pPr>
              <w:snapToGrid w:val="0"/>
              <w:jc w:val="center"/>
              <w:rPr>
                <w:rFonts w:ascii="宋体" w:hAnsi="宋体" w:eastAsia="宋体"/>
                <w:kern w:val="0"/>
                <w:szCs w:val="21"/>
              </w:rPr>
            </w:pPr>
            <w:r>
              <w:rPr>
                <w:rFonts w:hint="eastAsia" w:ascii="宋体" w:hAnsi="宋体" w:eastAsia="宋体"/>
                <w:kern w:val="0"/>
                <w:szCs w:val="21"/>
              </w:rPr>
              <w:t>全县</w:t>
            </w:r>
          </w:p>
        </w:tc>
        <w:tc>
          <w:tcPr>
            <w:tcW w:w="415" w:type="pct"/>
            <w:noWrap/>
            <w:vAlign w:val="center"/>
          </w:tcPr>
          <w:p w14:paraId="2D25C4E4">
            <w:pPr>
              <w:snapToGrid w:val="0"/>
              <w:jc w:val="center"/>
              <w:rPr>
                <w:rFonts w:ascii="宋体" w:hAnsi="宋体" w:eastAsia="宋体"/>
                <w:kern w:val="0"/>
                <w:szCs w:val="21"/>
              </w:rPr>
            </w:pPr>
            <w:r>
              <w:rPr>
                <w:rFonts w:hint="eastAsia" w:ascii="宋体" w:hAnsi="宋体" w:eastAsia="宋体"/>
                <w:kern w:val="0"/>
                <w:szCs w:val="21"/>
              </w:rPr>
              <w:t>1500</w:t>
            </w:r>
          </w:p>
        </w:tc>
        <w:tc>
          <w:tcPr>
            <w:tcW w:w="366" w:type="pct"/>
            <w:vAlign w:val="center"/>
          </w:tcPr>
          <w:p w14:paraId="1CFF25F0">
            <w:pPr>
              <w:snapToGrid w:val="0"/>
              <w:jc w:val="center"/>
              <w:rPr>
                <w:rFonts w:ascii="宋体" w:hAnsi="宋体" w:eastAsia="宋体"/>
                <w:kern w:val="0"/>
                <w:szCs w:val="21"/>
              </w:rPr>
            </w:pPr>
            <w:r>
              <w:rPr>
                <w:rFonts w:hint="eastAsia" w:ascii="宋体" w:hAnsi="宋体" w:eastAsia="宋体"/>
                <w:kern w:val="0"/>
                <w:szCs w:val="21"/>
              </w:rPr>
              <w:t>县自然资源局</w:t>
            </w:r>
          </w:p>
        </w:tc>
      </w:tr>
      <w:tr w14:paraId="6F2C1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10" w:type="pct"/>
            <w:gridSpan w:val="4"/>
            <w:shd w:val="clear" w:color="auto" w:fill="auto"/>
            <w:vAlign w:val="center"/>
          </w:tcPr>
          <w:p w14:paraId="74DFE178">
            <w:pPr>
              <w:snapToGrid w:val="0"/>
              <w:jc w:val="center"/>
              <w:rPr>
                <w:rFonts w:ascii="宋体" w:hAnsi="宋体" w:eastAsia="宋体"/>
                <w:kern w:val="0"/>
                <w:szCs w:val="21"/>
                <w:highlight w:val="yellow"/>
              </w:rPr>
            </w:pPr>
            <w:r>
              <w:rPr>
                <w:rFonts w:hint="eastAsia" w:ascii="宋体" w:hAnsi="宋体" w:eastAsia="宋体"/>
                <w:b/>
                <w:bCs/>
                <w:kern w:val="0"/>
                <w:szCs w:val="21"/>
              </w:rPr>
              <w:t>合计</w:t>
            </w:r>
          </w:p>
        </w:tc>
        <w:tc>
          <w:tcPr>
            <w:tcW w:w="420" w:type="pct"/>
            <w:vAlign w:val="center"/>
          </w:tcPr>
          <w:p w14:paraId="4BD99C3F">
            <w:pPr>
              <w:snapToGrid w:val="0"/>
              <w:jc w:val="center"/>
              <w:rPr>
                <w:rFonts w:ascii="宋体" w:hAnsi="宋体" w:eastAsia="宋体"/>
                <w:kern w:val="0"/>
                <w:szCs w:val="21"/>
                <w:highlight w:val="yellow"/>
              </w:rPr>
            </w:pPr>
          </w:p>
        </w:tc>
        <w:tc>
          <w:tcPr>
            <w:tcW w:w="288" w:type="pct"/>
            <w:vAlign w:val="center"/>
          </w:tcPr>
          <w:p w14:paraId="764C0D34">
            <w:pPr>
              <w:snapToGrid w:val="0"/>
              <w:jc w:val="center"/>
              <w:rPr>
                <w:rFonts w:ascii="宋体" w:hAnsi="宋体" w:eastAsia="宋体"/>
                <w:kern w:val="0"/>
                <w:szCs w:val="21"/>
                <w:highlight w:val="yellow"/>
              </w:rPr>
            </w:pPr>
          </w:p>
        </w:tc>
        <w:tc>
          <w:tcPr>
            <w:tcW w:w="415" w:type="pct"/>
            <w:noWrap/>
            <w:vAlign w:val="center"/>
          </w:tcPr>
          <w:p w14:paraId="5EA36871">
            <w:pPr>
              <w:snapToGrid w:val="0"/>
              <w:jc w:val="center"/>
              <w:rPr>
                <w:rFonts w:ascii="宋体" w:hAnsi="宋体" w:eastAsia="宋体"/>
                <w:kern w:val="0"/>
                <w:szCs w:val="21"/>
              </w:rPr>
            </w:pPr>
            <w:r>
              <w:rPr>
                <w:rFonts w:hint="eastAsia" w:ascii="宋体" w:hAnsi="宋体" w:eastAsia="宋体"/>
                <w:kern w:val="0"/>
                <w:szCs w:val="21"/>
              </w:rPr>
              <w:t>2100</w:t>
            </w:r>
          </w:p>
        </w:tc>
        <w:tc>
          <w:tcPr>
            <w:tcW w:w="366" w:type="pct"/>
            <w:vAlign w:val="center"/>
          </w:tcPr>
          <w:p w14:paraId="3DEAAE43">
            <w:pPr>
              <w:snapToGrid w:val="0"/>
              <w:jc w:val="center"/>
              <w:rPr>
                <w:rFonts w:ascii="宋体" w:hAnsi="宋体" w:eastAsia="宋体"/>
                <w:kern w:val="0"/>
                <w:szCs w:val="21"/>
                <w:highlight w:val="yellow"/>
              </w:rPr>
            </w:pPr>
          </w:p>
        </w:tc>
      </w:tr>
    </w:tbl>
    <w:p w14:paraId="09E6C908">
      <w:pPr>
        <w:rPr>
          <w:rFonts w:eastAsia="宋体" w:cs="Times New Roman"/>
          <w:szCs w:val="21"/>
          <w:highlight w:val="yellow"/>
        </w:rPr>
      </w:pPr>
    </w:p>
    <w:p w14:paraId="75BAFF9C">
      <w:pPr>
        <w:spacing w:before="319" w:beforeLines="100" w:line="579" w:lineRule="auto"/>
        <w:jc w:val="left"/>
        <w:rPr>
          <w:rFonts w:eastAsia="黑体" w:cs="Times New Roman"/>
          <w:b/>
          <w:bCs/>
          <w:kern w:val="44"/>
          <w:sz w:val="32"/>
          <w:szCs w:val="40"/>
        </w:rPr>
      </w:pPr>
      <w:bookmarkStart w:id="301" w:name="_Toc105576385"/>
    </w:p>
    <w:p w14:paraId="21ECFD5C">
      <w:pPr>
        <w:pageBreakBefore/>
        <w:spacing w:before="319" w:beforeLines="100" w:line="579" w:lineRule="auto"/>
        <w:jc w:val="left"/>
        <w:outlineLvl w:val="0"/>
        <w:rPr>
          <w:rFonts w:eastAsia="黑体" w:cs="Times New Roman"/>
          <w:b/>
          <w:bCs/>
          <w:kern w:val="44"/>
          <w:sz w:val="32"/>
          <w:szCs w:val="40"/>
          <w:highlight w:val="yellow"/>
        </w:rPr>
      </w:pPr>
      <w:bookmarkStart w:id="302" w:name="_Toc21711"/>
      <w:r>
        <w:rPr>
          <w:rFonts w:eastAsia="黑体" w:cs="Times New Roman"/>
          <w:b/>
          <w:bCs/>
          <w:kern w:val="44"/>
          <w:sz w:val="32"/>
          <w:szCs w:val="40"/>
        </w:rPr>
        <w:t>附表二</w:t>
      </w:r>
      <w:r>
        <w:rPr>
          <w:rFonts w:hint="eastAsia" w:eastAsia="黑体" w:cs="Times New Roman"/>
          <w:b/>
          <w:bCs/>
          <w:kern w:val="44"/>
          <w:sz w:val="32"/>
          <w:szCs w:val="40"/>
        </w:rPr>
        <w:t xml:space="preserve">  </w:t>
      </w:r>
      <w:r>
        <w:rPr>
          <w:rFonts w:eastAsia="黑体" w:cs="Times New Roman"/>
          <w:b/>
          <w:bCs/>
          <w:kern w:val="44"/>
          <w:sz w:val="32"/>
          <w:szCs w:val="40"/>
        </w:rPr>
        <w:t>生态安全体系重点项目</w:t>
      </w:r>
      <w:bookmarkEnd w:id="301"/>
      <w:bookmarkEnd w:id="302"/>
    </w:p>
    <w:tbl>
      <w:tblPr>
        <w:tblStyle w:val="42"/>
        <w:tblW w:w="502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4"/>
        <w:gridCol w:w="135"/>
        <w:gridCol w:w="1328"/>
        <w:gridCol w:w="681"/>
        <w:gridCol w:w="6516"/>
        <w:gridCol w:w="1440"/>
        <w:gridCol w:w="1440"/>
        <w:gridCol w:w="1156"/>
        <w:gridCol w:w="1124"/>
      </w:tblGrid>
      <w:tr w14:paraId="33CD0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45" w:type="pct"/>
            <w:shd w:val="clear" w:color="000000" w:fill="FFFFFF"/>
            <w:vAlign w:val="center"/>
          </w:tcPr>
          <w:p w14:paraId="1BC0654D">
            <w:pPr>
              <w:snapToGrid w:val="0"/>
              <w:jc w:val="center"/>
              <w:rPr>
                <w:rFonts w:eastAsia="宋体" w:cs="Times New Roman"/>
                <w:b/>
                <w:bCs/>
                <w:kern w:val="0"/>
                <w:szCs w:val="21"/>
              </w:rPr>
            </w:pPr>
            <w:r>
              <w:rPr>
                <w:rFonts w:eastAsia="宋体" w:cs="Times New Roman"/>
                <w:b/>
                <w:bCs/>
                <w:kern w:val="0"/>
                <w:szCs w:val="21"/>
              </w:rPr>
              <w:t>序</w:t>
            </w:r>
          </w:p>
          <w:p w14:paraId="3EFAFB43">
            <w:pPr>
              <w:snapToGrid w:val="0"/>
              <w:jc w:val="center"/>
              <w:rPr>
                <w:rFonts w:eastAsia="宋体" w:cs="Times New Roman"/>
                <w:b/>
                <w:bCs/>
                <w:kern w:val="0"/>
                <w:szCs w:val="21"/>
              </w:rPr>
            </w:pPr>
            <w:r>
              <w:rPr>
                <w:rFonts w:eastAsia="宋体" w:cs="Times New Roman"/>
                <w:b/>
                <w:bCs/>
                <w:kern w:val="0"/>
                <w:szCs w:val="21"/>
              </w:rPr>
              <w:t>号</w:t>
            </w:r>
          </w:p>
        </w:tc>
        <w:tc>
          <w:tcPr>
            <w:tcW w:w="512" w:type="pct"/>
            <w:gridSpan w:val="2"/>
            <w:shd w:val="clear" w:color="000000" w:fill="FFFFFF"/>
            <w:vAlign w:val="center"/>
          </w:tcPr>
          <w:p w14:paraId="3D860D56">
            <w:pPr>
              <w:snapToGrid w:val="0"/>
              <w:jc w:val="center"/>
              <w:rPr>
                <w:rFonts w:eastAsia="宋体" w:cs="Times New Roman"/>
                <w:b/>
                <w:bCs/>
                <w:kern w:val="0"/>
                <w:szCs w:val="21"/>
              </w:rPr>
            </w:pPr>
            <w:r>
              <w:rPr>
                <w:rFonts w:eastAsia="宋体" w:cs="Times New Roman"/>
                <w:b/>
                <w:bCs/>
                <w:kern w:val="0"/>
                <w:szCs w:val="21"/>
              </w:rPr>
              <w:t>项目名称</w:t>
            </w:r>
          </w:p>
        </w:tc>
        <w:tc>
          <w:tcPr>
            <w:tcW w:w="239" w:type="pct"/>
            <w:shd w:val="clear" w:color="000000" w:fill="FFFFFF"/>
            <w:vAlign w:val="center"/>
          </w:tcPr>
          <w:p w14:paraId="5ABA6778">
            <w:pPr>
              <w:snapToGrid w:val="0"/>
              <w:jc w:val="center"/>
              <w:rPr>
                <w:rFonts w:eastAsia="宋体" w:cs="Times New Roman"/>
                <w:b/>
                <w:bCs/>
                <w:kern w:val="0"/>
                <w:szCs w:val="21"/>
              </w:rPr>
            </w:pPr>
            <w:r>
              <w:rPr>
                <w:rFonts w:eastAsia="宋体" w:cs="Times New Roman"/>
                <w:b/>
                <w:bCs/>
                <w:kern w:val="0"/>
                <w:szCs w:val="21"/>
              </w:rPr>
              <w:t>建设</w:t>
            </w:r>
          </w:p>
          <w:p w14:paraId="3C204E85">
            <w:pPr>
              <w:snapToGrid w:val="0"/>
              <w:jc w:val="center"/>
              <w:rPr>
                <w:rFonts w:eastAsia="宋体" w:cs="Times New Roman"/>
                <w:b/>
                <w:bCs/>
                <w:kern w:val="0"/>
                <w:szCs w:val="21"/>
              </w:rPr>
            </w:pPr>
            <w:r>
              <w:rPr>
                <w:rFonts w:eastAsia="宋体" w:cs="Times New Roman"/>
                <w:b/>
                <w:bCs/>
                <w:kern w:val="0"/>
                <w:szCs w:val="21"/>
              </w:rPr>
              <w:t>性质</w:t>
            </w:r>
          </w:p>
        </w:tc>
        <w:tc>
          <w:tcPr>
            <w:tcW w:w="2288" w:type="pct"/>
            <w:shd w:val="clear" w:color="000000" w:fill="FFFFFF"/>
            <w:vAlign w:val="center"/>
          </w:tcPr>
          <w:p w14:paraId="3E711BAF">
            <w:pPr>
              <w:snapToGrid w:val="0"/>
              <w:jc w:val="center"/>
              <w:rPr>
                <w:rFonts w:eastAsia="宋体" w:cs="Times New Roman"/>
                <w:b/>
                <w:bCs/>
                <w:kern w:val="0"/>
                <w:szCs w:val="21"/>
              </w:rPr>
            </w:pPr>
            <w:r>
              <w:rPr>
                <w:rFonts w:eastAsia="宋体" w:cs="Times New Roman"/>
                <w:b/>
                <w:bCs/>
                <w:kern w:val="0"/>
                <w:szCs w:val="21"/>
              </w:rPr>
              <w:t>建设内容和规模</w:t>
            </w:r>
          </w:p>
        </w:tc>
        <w:tc>
          <w:tcPr>
            <w:tcW w:w="506" w:type="pct"/>
            <w:shd w:val="clear" w:color="000000" w:fill="FFFFFF"/>
            <w:vAlign w:val="center"/>
          </w:tcPr>
          <w:p w14:paraId="143FDA79">
            <w:pPr>
              <w:snapToGrid w:val="0"/>
              <w:jc w:val="center"/>
              <w:rPr>
                <w:rFonts w:eastAsia="宋体" w:cs="Times New Roman"/>
                <w:b/>
                <w:bCs/>
                <w:kern w:val="0"/>
                <w:szCs w:val="21"/>
              </w:rPr>
            </w:pPr>
            <w:r>
              <w:rPr>
                <w:rFonts w:eastAsia="宋体" w:cs="Times New Roman"/>
                <w:b/>
                <w:bCs/>
                <w:kern w:val="0"/>
                <w:szCs w:val="21"/>
              </w:rPr>
              <w:t>建设期限</w:t>
            </w:r>
          </w:p>
        </w:tc>
        <w:tc>
          <w:tcPr>
            <w:tcW w:w="506" w:type="pct"/>
            <w:shd w:val="clear" w:color="000000" w:fill="FFFFFF"/>
            <w:vAlign w:val="center"/>
          </w:tcPr>
          <w:p w14:paraId="70AD1BE3">
            <w:pPr>
              <w:snapToGrid w:val="0"/>
              <w:jc w:val="center"/>
              <w:rPr>
                <w:rFonts w:eastAsia="宋体" w:cs="Times New Roman"/>
                <w:b/>
                <w:bCs/>
                <w:kern w:val="0"/>
                <w:szCs w:val="21"/>
              </w:rPr>
            </w:pPr>
            <w:r>
              <w:rPr>
                <w:rFonts w:eastAsia="宋体" w:cs="Times New Roman"/>
                <w:b/>
                <w:bCs/>
                <w:kern w:val="0"/>
                <w:szCs w:val="21"/>
              </w:rPr>
              <w:t>建设</w:t>
            </w:r>
          </w:p>
          <w:p w14:paraId="3C13BBB1">
            <w:pPr>
              <w:snapToGrid w:val="0"/>
              <w:jc w:val="center"/>
              <w:rPr>
                <w:rFonts w:eastAsia="宋体" w:cs="Times New Roman"/>
                <w:b/>
                <w:bCs/>
                <w:kern w:val="0"/>
                <w:szCs w:val="21"/>
              </w:rPr>
            </w:pPr>
            <w:r>
              <w:rPr>
                <w:rFonts w:eastAsia="宋体" w:cs="Times New Roman"/>
                <w:b/>
                <w:bCs/>
                <w:kern w:val="0"/>
                <w:szCs w:val="21"/>
              </w:rPr>
              <w:t>地点</w:t>
            </w:r>
          </w:p>
        </w:tc>
        <w:tc>
          <w:tcPr>
            <w:tcW w:w="406" w:type="pct"/>
            <w:shd w:val="clear" w:color="000000" w:fill="FFFFFF"/>
            <w:vAlign w:val="center"/>
          </w:tcPr>
          <w:p w14:paraId="5C144240">
            <w:pPr>
              <w:snapToGrid w:val="0"/>
              <w:jc w:val="center"/>
              <w:rPr>
                <w:rFonts w:eastAsia="宋体" w:cs="Times New Roman"/>
                <w:b/>
                <w:bCs/>
                <w:kern w:val="0"/>
                <w:szCs w:val="21"/>
              </w:rPr>
            </w:pPr>
            <w:r>
              <w:rPr>
                <w:rFonts w:eastAsia="宋体" w:cs="Times New Roman"/>
                <w:b/>
                <w:bCs/>
                <w:kern w:val="0"/>
                <w:szCs w:val="21"/>
              </w:rPr>
              <w:t>总投资</w:t>
            </w:r>
          </w:p>
          <w:p w14:paraId="103E7FFF">
            <w:pPr>
              <w:snapToGrid w:val="0"/>
              <w:jc w:val="center"/>
              <w:rPr>
                <w:rFonts w:eastAsia="宋体" w:cs="Times New Roman"/>
                <w:szCs w:val="21"/>
              </w:rPr>
            </w:pPr>
            <w:r>
              <w:rPr>
                <w:rFonts w:eastAsia="宋体" w:cs="Times New Roman"/>
                <w:b/>
                <w:bCs/>
                <w:kern w:val="0"/>
                <w:szCs w:val="21"/>
              </w:rPr>
              <w:t>（万元）</w:t>
            </w:r>
          </w:p>
        </w:tc>
        <w:tc>
          <w:tcPr>
            <w:tcW w:w="395" w:type="pct"/>
            <w:shd w:val="clear" w:color="000000" w:fill="FFFFFF"/>
            <w:vAlign w:val="center"/>
          </w:tcPr>
          <w:p w14:paraId="48C11EF2">
            <w:pPr>
              <w:snapToGrid w:val="0"/>
              <w:jc w:val="center"/>
              <w:rPr>
                <w:rFonts w:eastAsia="宋体" w:cs="Times New Roman"/>
                <w:b/>
                <w:bCs/>
                <w:kern w:val="0"/>
                <w:szCs w:val="21"/>
              </w:rPr>
            </w:pPr>
            <w:r>
              <w:rPr>
                <w:rFonts w:eastAsia="宋体" w:cs="Times New Roman"/>
                <w:b/>
                <w:bCs/>
                <w:kern w:val="0"/>
                <w:szCs w:val="21"/>
              </w:rPr>
              <w:t>责任单位</w:t>
            </w:r>
          </w:p>
        </w:tc>
      </w:tr>
      <w:tr w14:paraId="45C5C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 w:type="pct"/>
            <w:gridSpan w:val="2"/>
            <w:shd w:val="clear" w:color="auto" w:fill="auto"/>
            <w:vAlign w:val="center"/>
          </w:tcPr>
          <w:p w14:paraId="5B2FB39F">
            <w:pPr>
              <w:jc w:val="center"/>
              <w:rPr>
                <w:rFonts w:eastAsia="宋体" w:cs="Times New Roman"/>
                <w:kern w:val="0"/>
                <w:szCs w:val="21"/>
              </w:rPr>
            </w:pPr>
            <w:r>
              <w:rPr>
                <w:rFonts w:hint="eastAsia" w:eastAsia="宋体" w:cs="Times New Roman"/>
                <w:kern w:val="0"/>
                <w:szCs w:val="21"/>
              </w:rPr>
              <w:t>1</w:t>
            </w:r>
          </w:p>
        </w:tc>
        <w:tc>
          <w:tcPr>
            <w:tcW w:w="466" w:type="pct"/>
            <w:shd w:val="clear" w:color="000000" w:fill="FFFFFF"/>
            <w:vAlign w:val="center"/>
          </w:tcPr>
          <w:p w14:paraId="500AB56D">
            <w:pPr>
              <w:rPr>
                <w:rFonts w:eastAsia="宋体" w:cs="Times New Roman"/>
                <w:kern w:val="0"/>
                <w:szCs w:val="21"/>
              </w:rPr>
            </w:pPr>
            <w:r>
              <w:rPr>
                <w:rFonts w:eastAsia="宋体" w:cs="Times New Roman"/>
                <w:kern w:val="0"/>
                <w:szCs w:val="21"/>
              </w:rPr>
              <w:t>西藏洛隆卓玛朗措国家湿地公园2021年度湿地保护项目</w:t>
            </w:r>
          </w:p>
        </w:tc>
        <w:tc>
          <w:tcPr>
            <w:tcW w:w="239" w:type="pct"/>
            <w:shd w:val="clear" w:color="000000" w:fill="FFFFFF"/>
            <w:vAlign w:val="center"/>
          </w:tcPr>
          <w:p w14:paraId="45DEE832">
            <w:pPr>
              <w:snapToGrid w:val="0"/>
              <w:jc w:val="center"/>
              <w:rPr>
                <w:rFonts w:eastAsia="宋体" w:cs="Times New Roman"/>
                <w:kern w:val="0"/>
                <w:szCs w:val="21"/>
              </w:rPr>
            </w:pPr>
            <w:r>
              <w:rPr>
                <w:rFonts w:eastAsia="宋体" w:cs="Times New Roman"/>
                <w:kern w:val="0"/>
                <w:sz w:val="20"/>
                <w:szCs w:val="20"/>
              </w:rPr>
              <w:t>续建</w:t>
            </w:r>
          </w:p>
        </w:tc>
        <w:tc>
          <w:tcPr>
            <w:tcW w:w="2288" w:type="pct"/>
            <w:shd w:val="clear" w:color="000000" w:fill="FFFFFF"/>
            <w:vAlign w:val="center"/>
          </w:tcPr>
          <w:p w14:paraId="137E9897">
            <w:pPr>
              <w:jc w:val="center"/>
              <w:rPr>
                <w:rFonts w:eastAsia="宋体" w:cs="Times New Roman"/>
                <w:kern w:val="0"/>
                <w:szCs w:val="21"/>
              </w:rPr>
            </w:pPr>
            <w:r>
              <w:rPr>
                <w:rFonts w:eastAsia="宋体" w:cs="Times New Roman"/>
                <w:kern w:val="0"/>
                <w:szCs w:val="21"/>
              </w:rPr>
              <w:t>建设两处野外科普宣教点（长廊），一处位于湿地监测站旁，一处位于湖边。充分利用现有场地，设施进行维修或改扩建。具体建设内容包括巡护步道，游步道（含栈道），观景台，休息长凳，宣教牌示系统，宣教设备，生态停车场等。维修改造巡护道路4.5公里，四级砂石路面。对湿地公园及周边牧民进行禁牧限牧生态补偿，分三年实施，每年每户按照草场面积补助。开展科研监测内容，包括购置红外线相机等设备，委托第三方开展湿地水生态状况监测，野生动物监测，野生植物监测，生态旅游活动影响监测等内容，实施期限为两年</w:t>
            </w:r>
          </w:p>
        </w:tc>
        <w:tc>
          <w:tcPr>
            <w:tcW w:w="506" w:type="pct"/>
            <w:vAlign w:val="center"/>
          </w:tcPr>
          <w:p w14:paraId="7AB084D6">
            <w:pPr>
              <w:snapToGrid w:val="0"/>
              <w:jc w:val="center"/>
              <w:rPr>
                <w:rFonts w:eastAsia="宋体" w:cs="Times New Roman"/>
                <w:kern w:val="0"/>
                <w:szCs w:val="21"/>
              </w:rPr>
            </w:pPr>
            <w:r>
              <w:rPr>
                <w:rFonts w:eastAsia="宋体" w:cs="Times New Roman"/>
                <w:kern w:val="0"/>
                <w:szCs w:val="21"/>
              </w:rPr>
              <w:t>2022-2030</w:t>
            </w:r>
          </w:p>
        </w:tc>
        <w:tc>
          <w:tcPr>
            <w:tcW w:w="506" w:type="pct"/>
            <w:vAlign w:val="center"/>
          </w:tcPr>
          <w:p w14:paraId="60E4F77B">
            <w:pPr>
              <w:snapToGrid w:val="0"/>
              <w:jc w:val="center"/>
              <w:rPr>
                <w:rFonts w:eastAsia="宋体" w:cs="Times New Roman"/>
                <w:kern w:val="0"/>
                <w:szCs w:val="21"/>
              </w:rPr>
            </w:pPr>
            <w:r>
              <w:rPr>
                <w:rFonts w:eastAsia="宋体" w:cs="Times New Roman"/>
                <w:kern w:val="0"/>
                <w:szCs w:val="21"/>
              </w:rPr>
              <w:t>孜托镇夏果村</w:t>
            </w:r>
          </w:p>
        </w:tc>
        <w:tc>
          <w:tcPr>
            <w:tcW w:w="406" w:type="pct"/>
            <w:noWrap/>
            <w:vAlign w:val="center"/>
          </w:tcPr>
          <w:p w14:paraId="4AF71FB2">
            <w:pPr>
              <w:jc w:val="center"/>
              <w:rPr>
                <w:rFonts w:eastAsia="宋体" w:cs="Times New Roman"/>
                <w:kern w:val="0"/>
                <w:szCs w:val="21"/>
              </w:rPr>
            </w:pPr>
            <w:r>
              <w:rPr>
                <w:rFonts w:eastAsia="宋体" w:cs="Times New Roman"/>
                <w:kern w:val="0"/>
                <w:szCs w:val="21"/>
              </w:rPr>
              <w:t>1000</w:t>
            </w:r>
          </w:p>
        </w:tc>
        <w:tc>
          <w:tcPr>
            <w:tcW w:w="395" w:type="pct"/>
            <w:vAlign w:val="center"/>
          </w:tcPr>
          <w:p w14:paraId="0587CCBB">
            <w:pPr>
              <w:jc w:val="center"/>
              <w:rPr>
                <w:rFonts w:eastAsia="宋体" w:cs="Times New Roman"/>
                <w:kern w:val="0"/>
                <w:szCs w:val="21"/>
              </w:rPr>
            </w:pPr>
            <w:r>
              <w:rPr>
                <w:rFonts w:eastAsia="宋体" w:cs="Times New Roman"/>
                <w:kern w:val="0"/>
                <w:szCs w:val="21"/>
              </w:rPr>
              <w:t>县林草局</w:t>
            </w:r>
          </w:p>
        </w:tc>
      </w:tr>
      <w:tr w14:paraId="7D732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 w:type="pct"/>
            <w:gridSpan w:val="2"/>
            <w:shd w:val="clear" w:color="auto" w:fill="auto"/>
            <w:vAlign w:val="center"/>
          </w:tcPr>
          <w:p w14:paraId="4F48C975">
            <w:pPr>
              <w:jc w:val="center"/>
              <w:rPr>
                <w:rFonts w:eastAsia="宋体" w:cs="Times New Roman"/>
                <w:kern w:val="0"/>
                <w:szCs w:val="21"/>
              </w:rPr>
            </w:pPr>
            <w:r>
              <w:rPr>
                <w:rFonts w:hint="eastAsia" w:eastAsia="宋体" w:cs="Times New Roman"/>
                <w:kern w:val="0"/>
                <w:szCs w:val="21"/>
              </w:rPr>
              <w:t>2</w:t>
            </w:r>
          </w:p>
        </w:tc>
        <w:tc>
          <w:tcPr>
            <w:tcW w:w="466" w:type="pct"/>
            <w:shd w:val="clear" w:color="000000" w:fill="FFFFFF"/>
            <w:vAlign w:val="center"/>
          </w:tcPr>
          <w:p w14:paraId="36656BD7">
            <w:pPr>
              <w:rPr>
                <w:rFonts w:eastAsia="宋体" w:cs="Times New Roman"/>
                <w:kern w:val="0"/>
                <w:szCs w:val="21"/>
              </w:rPr>
            </w:pPr>
            <w:r>
              <w:rPr>
                <w:rFonts w:eastAsia="宋体" w:cs="Times New Roman"/>
                <w:kern w:val="0"/>
                <w:szCs w:val="21"/>
              </w:rPr>
              <w:t>西藏“两江四河”流域2021年度洛隆县造林绿化工程</w:t>
            </w:r>
          </w:p>
        </w:tc>
        <w:tc>
          <w:tcPr>
            <w:tcW w:w="239" w:type="pct"/>
            <w:shd w:val="clear" w:color="000000" w:fill="FFFFFF"/>
            <w:vAlign w:val="center"/>
          </w:tcPr>
          <w:p w14:paraId="6BE6E4E1">
            <w:pPr>
              <w:snapToGrid w:val="0"/>
              <w:jc w:val="center"/>
              <w:rPr>
                <w:rFonts w:eastAsia="宋体" w:cs="Times New Roman"/>
                <w:kern w:val="0"/>
                <w:szCs w:val="21"/>
              </w:rPr>
            </w:pPr>
            <w:r>
              <w:rPr>
                <w:rFonts w:eastAsia="宋体" w:cs="Times New Roman"/>
                <w:kern w:val="0"/>
                <w:sz w:val="20"/>
                <w:szCs w:val="20"/>
              </w:rPr>
              <w:t>续建</w:t>
            </w:r>
          </w:p>
        </w:tc>
        <w:tc>
          <w:tcPr>
            <w:tcW w:w="2288" w:type="pct"/>
            <w:shd w:val="clear" w:color="000000" w:fill="FFFFFF"/>
            <w:vAlign w:val="center"/>
          </w:tcPr>
          <w:p w14:paraId="13E77A69">
            <w:pPr>
              <w:rPr>
                <w:rFonts w:eastAsia="宋体" w:cs="Times New Roman"/>
                <w:kern w:val="0"/>
                <w:szCs w:val="21"/>
              </w:rPr>
            </w:pPr>
            <w:r>
              <w:rPr>
                <w:rFonts w:eastAsia="宋体" w:cs="Times New Roman"/>
                <w:kern w:val="0"/>
                <w:szCs w:val="21"/>
              </w:rPr>
              <w:t>川西杉227830珠。新疆柳6380珠，旱柳4785珠、山杏4785珠，劳力（造林植树及管护费）：包含所购苗木的栽植、养护期的定植、补植、抚育等，网围栏：包含网围栏（水泥桩+钢丝围栏）16628m,生物围栏（土工格栅网）15950m，灌溉及其他:包含DN100PE给水管15782m，DN150PE给水管8071m，抽水汞3台，移动柴油提灌一个，消防水带1400m，苗木涂白15950珠，宣传牌4个，物资及有害生物防治；40.17公顷造林燃烧消耗及190.6公顷有害生物防治，5次等。</w:t>
            </w:r>
          </w:p>
        </w:tc>
        <w:tc>
          <w:tcPr>
            <w:tcW w:w="506" w:type="pct"/>
            <w:vAlign w:val="center"/>
          </w:tcPr>
          <w:p w14:paraId="324FCC90">
            <w:pPr>
              <w:snapToGrid w:val="0"/>
              <w:jc w:val="center"/>
              <w:rPr>
                <w:rFonts w:eastAsia="宋体" w:cs="Times New Roman"/>
                <w:kern w:val="0"/>
                <w:szCs w:val="21"/>
              </w:rPr>
            </w:pPr>
            <w:r>
              <w:rPr>
                <w:rFonts w:eastAsia="宋体" w:cs="Times New Roman"/>
                <w:kern w:val="0"/>
                <w:szCs w:val="21"/>
              </w:rPr>
              <w:t>2022-2030</w:t>
            </w:r>
          </w:p>
        </w:tc>
        <w:tc>
          <w:tcPr>
            <w:tcW w:w="506" w:type="pct"/>
            <w:vAlign w:val="center"/>
          </w:tcPr>
          <w:p w14:paraId="3A676F8D">
            <w:pPr>
              <w:snapToGrid w:val="0"/>
              <w:jc w:val="center"/>
              <w:rPr>
                <w:rFonts w:eastAsia="宋体" w:cs="Times New Roman"/>
                <w:kern w:val="0"/>
                <w:szCs w:val="21"/>
              </w:rPr>
            </w:pPr>
            <w:r>
              <w:rPr>
                <w:rFonts w:eastAsia="宋体" w:cs="Times New Roman"/>
                <w:kern w:val="0"/>
                <w:szCs w:val="21"/>
              </w:rPr>
              <w:t>全县</w:t>
            </w:r>
          </w:p>
        </w:tc>
        <w:tc>
          <w:tcPr>
            <w:tcW w:w="406" w:type="pct"/>
            <w:noWrap/>
            <w:vAlign w:val="center"/>
          </w:tcPr>
          <w:p w14:paraId="2D2F59C1">
            <w:pPr>
              <w:jc w:val="center"/>
              <w:rPr>
                <w:rFonts w:eastAsia="宋体" w:cs="Times New Roman"/>
                <w:kern w:val="0"/>
                <w:szCs w:val="21"/>
              </w:rPr>
            </w:pPr>
            <w:r>
              <w:rPr>
                <w:rFonts w:eastAsia="宋体" w:cs="Times New Roman"/>
                <w:kern w:val="0"/>
                <w:szCs w:val="21"/>
              </w:rPr>
              <w:t>922.025</w:t>
            </w:r>
          </w:p>
        </w:tc>
        <w:tc>
          <w:tcPr>
            <w:tcW w:w="395" w:type="pct"/>
          </w:tcPr>
          <w:p w14:paraId="0C92F950">
            <w:pPr>
              <w:jc w:val="center"/>
              <w:rPr>
                <w:rFonts w:eastAsia="宋体" w:cs="Times New Roman"/>
                <w:kern w:val="0"/>
                <w:szCs w:val="21"/>
              </w:rPr>
            </w:pPr>
            <w:r>
              <w:rPr>
                <w:rFonts w:eastAsia="宋体" w:cs="Times New Roman"/>
                <w:kern w:val="0"/>
                <w:szCs w:val="21"/>
              </w:rPr>
              <w:t>县林草局</w:t>
            </w:r>
          </w:p>
        </w:tc>
      </w:tr>
      <w:tr w14:paraId="22670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 w:type="pct"/>
            <w:gridSpan w:val="2"/>
            <w:shd w:val="clear" w:color="auto" w:fill="auto"/>
            <w:vAlign w:val="center"/>
          </w:tcPr>
          <w:p w14:paraId="46C7218B">
            <w:pPr>
              <w:jc w:val="center"/>
              <w:rPr>
                <w:rFonts w:eastAsia="宋体" w:cs="Times New Roman"/>
                <w:kern w:val="0"/>
                <w:szCs w:val="21"/>
              </w:rPr>
            </w:pPr>
            <w:r>
              <w:rPr>
                <w:rFonts w:hint="eastAsia" w:eastAsia="宋体" w:cs="Times New Roman"/>
                <w:kern w:val="0"/>
                <w:szCs w:val="21"/>
              </w:rPr>
              <w:t>3</w:t>
            </w:r>
          </w:p>
        </w:tc>
        <w:tc>
          <w:tcPr>
            <w:tcW w:w="466" w:type="pct"/>
            <w:shd w:val="clear" w:color="auto" w:fill="auto"/>
            <w:vAlign w:val="center"/>
          </w:tcPr>
          <w:p w14:paraId="605EB752">
            <w:pPr>
              <w:jc w:val="center"/>
              <w:rPr>
                <w:rFonts w:eastAsia="宋体" w:cs="Times New Roman"/>
                <w:kern w:val="0"/>
                <w:szCs w:val="21"/>
              </w:rPr>
            </w:pPr>
            <w:r>
              <w:rPr>
                <w:rFonts w:eastAsia="宋体" w:cs="Times New Roman"/>
                <w:kern w:val="0"/>
                <w:szCs w:val="21"/>
              </w:rPr>
              <w:t>洛隆县城乡绿化一体化建设项目(生态修复工程）</w:t>
            </w:r>
          </w:p>
        </w:tc>
        <w:tc>
          <w:tcPr>
            <w:tcW w:w="239" w:type="pct"/>
            <w:shd w:val="clear" w:color="000000" w:fill="FFFFFF"/>
            <w:vAlign w:val="center"/>
          </w:tcPr>
          <w:p w14:paraId="2CABBF39">
            <w:pPr>
              <w:snapToGrid w:val="0"/>
              <w:jc w:val="center"/>
              <w:rPr>
                <w:rFonts w:eastAsia="宋体" w:cs="Times New Roman"/>
                <w:kern w:val="0"/>
                <w:szCs w:val="21"/>
              </w:rPr>
            </w:pPr>
            <w:r>
              <w:rPr>
                <w:rFonts w:eastAsia="宋体" w:cs="Times New Roman"/>
                <w:kern w:val="0"/>
                <w:sz w:val="20"/>
                <w:szCs w:val="20"/>
              </w:rPr>
              <w:t>续建</w:t>
            </w:r>
          </w:p>
        </w:tc>
        <w:tc>
          <w:tcPr>
            <w:tcW w:w="2288" w:type="pct"/>
            <w:shd w:val="clear" w:color="000000" w:fill="FFFFFF"/>
            <w:vAlign w:val="center"/>
          </w:tcPr>
          <w:p w14:paraId="53D3BFE7">
            <w:pPr>
              <w:jc w:val="center"/>
              <w:rPr>
                <w:rFonts w:eastAsia="宋体" w:cs="Times New Roman"/>
                <w:kern w:val="0"/>
                <w:szCs w:val="21"/>
              </w:rPr>
            </w:pPr>
            <w:r>
              <w:rPr>
                <w:rFonts w:eastAsia="宋体" w:cs="Times New Roman"/>
                <w:kern w:val="0"/>
                <w:szCs w:val="21"/>
              </w:rPr>
              <w:t>县城主干道体质增绿工作、孜托镇阿托卡新村片区绿化美化工作、孜托镇托卡其扎贡新区绿化美化工程、孜托镇古荣沟片区绿化美化工程和洛隆县森林围城建设工程5大工程，栽植各类乔木灌木、整理绿化用地、草坪、各规格树池等。补植及其他工程，包括草坪、各类灌木、工具器具的购置，补植补充，后期管护工程，对5大工程区实施管护，聘请10名专业养护人员，管护期5年，购置各类防治药品，复合肥追肥，购置灌溉洒水车一辆(5m3)。二、工程概算投资及来源</w:t>
            </w:r>
          </w:p>
          <w:p w14:paraId="7D75E4B8">
            <w:pPr>
              <w:jc w:val="center"/>
              <w:rPr>
                <w:rFonts w:eastAsia="宋体" w:cs="Times New Roman"/>
                <w:kern w:val="0"/>
                <w:szCs w:val="21"/>
              </w:rPr>
            </w:pPr>
            <w:r>
              <w:rPr>
                <w:rFonts w:eastAsia="宋体" w:cs="Times New Roman"/>
                <w:kern w:val="0"/>
                <w:szCs w:val="21"/>
              </w:rPr>
              <w:t>经审查，该项目预算总投资为1999.26万元，其中建安费1583.82万元，补植及其他工程费104.93万元，管护费为187.50万元，其他费用123.01万元。</w:t>
            </w:r>
          </w:p>
        </w:tc>
        <w:tc>
          <w:tcPr>
            <w:tcW w:w="506" w:type="pct"/>
            <w:vAlign w:val="center"/>
          </w:tcPr>
          <w:p w14:paraId="2ED464F3">
            <w:pPr>
              <w:snapToGrid w:val="0"/>
              <w:jc w:val="center"/>
              <w:rPr>
                <w:rFonts w:eastAsia="宋体" w:cs="Times New Roman"/>
                <w:kern w:val="0"/>
                <w:szCs w:val="21"/>
              </w:rPr>
            </w:pPr>
            <w:r>
              <w:rPr>
                <w:rFonts w:eastAsia="宋体" w:cs="Times New Roman"/>
                <w:kern w:val="0"/>
                <w:szCs w:val="21"/>
              </w:rPr>
              <w:t>2022~2025</w:t>
            </w:r>
          </w:p>
        </w:tc>
        <w:tc>
          <w:tcPr>
            <w:tcW w:w="506" w:type="pct"/>
            <w:vAlign w:val="center"/>
          </w:tcPr>
          <w:p w14:paraId="25318CBB">
            <w:pPr>
              <w:jc w:val="center"/>
              <w:rPr>
                <w:rFonts w:eastAsia="宋体" w:cs="Times New Roman"/>
                <w:kern w:val="0"/>
                <w:szCs w:val="21"/>
              </w:rPr>
            </w:pPr>
            <w:r>
              <w:rPr>
                <w:rFonts w:eastAsia="宋体" w:cs="Times New Roman"/>
                <w:kern w:val="0"/>
                <w:szCs w:val="21"/>
              </w:rPr>
              <w:t>县城</w:t>
            </w:r>
          </w:p>
        </w:tc>
        <w:tc>
          <w:tcPr>
            <w:tcW w:w="406" w:type="pct"/>
            <w:noWrap/>
            <w:vAlign w:val="center"/>
          </w:tcPr>
          <w:p w14:paraId="78F09C3A">
            <w:pPr>
              <w:snapToGrid w:val="0"/>
              <w:jc w:val="center"/>
              <w:rPr>
                <w:rFonts w:eastAsia="宋体" w:cs="Times New Roman"/>
                <w:kern w:val="0"/>
                <w:szCs w:val="21"/>
              </w:rPr>
            </w:pPr>
            <w:r>
              <w:rPr>
                <w:rFonts w:eastAsia="宋体" w:cs="Times New Roman"/>
                <w:kern w:val="0"/>
                <w:szCs w:val="21"/>
              </w:rPr>
              <w:t>2000</w:t>
            </w:r>
          </w:p>
        </w:tc>
        <w:tc>
          <w:tcPr>
            <w:tcW w:w="395" w:type="pct"/>
          </w:tcPr>
          <w:p w14:paraId="41A6430C">
            <w:pPr>
              <w:jc w:val="center"/>
              <w:rPr>
                <w:rFonts w:eastAsia="宋体" w:cs="Times New Roman"/>
                <w:kern w:val="0"/>
                <w:szCs w:val="21"/>
              </w:rPr>
            </w:pPr>
            <w:r>
              <w:rPr>
                <w:rFonts w:eastAsia="宋体" w:cs="Times New Roman"/>
                <w:kern w:val="0"/>
                <w:szCs w:val="21"/>
              </w:rPr>
              <w:t>县林草局</w:t>
            </w:r>
          </w:p>
        </w:tc>
      </w:tr>
      <w:tr w14:paraId="3469D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jc w:val="center"/>
        </w:trPr>
        <w:tc>
          <w:tcPr>
            <w:tcW w:w="192" w:type="pct"/>
            <w:gridSpan w:val="2"/>
            <w:shd w:val="clear" w:color="auto" w:fill="auto"/>
            <w:vAlign w:val="center"/>
          </w:tcPr>
          <w:p w14:paraId="654890F9">
            <w:pPr>
              <w:jc w:val="center"/>
              <w:rPr>
                <w:rFonts w:eastAsia="宋体" w:cs="Times New Roman"/>
                <w:kern w:val="0"/>
                <w:szCs w:val="21"/>
              </w:rPr>
            </w:pPr>
            <w:r>
              <w:rPr>
                <w:rFonts w:hint="eastAsia" w:eastAsia="宋体" w:cs="Times New Roman"/>
                <w:kern w:val="0"/>
                <w:szCs w:val="21"/>
              </w:rPr>
              <w:t>4</w:t>
            </w:r>
          </w:p>
        </w:tc>
        <w:tc>
          <w:tcPr>
            <w:tcW w:w="466" w:type="pct"/>
            <w:shd w:val="clear" w:color="auto" w:fill="auto"/>
            <w:vAlign w:val="center"/>
          </w:tcPr>
          <w:p w14:paraId="2BEE80E4">
            <w:pPr>
              <w:jc w:val="center"/>
              <w:rPr>
                <w:rFonts w:eastAsia="宋体" w:cs="Times New Roman"/>
                <w:kern w:val="0"/>
                <w:szCs w:val="21"/>
              </w:rPr>
            </w:pPr>
            <w:r>
              <w:rPr>
                <w:rFonts w:eastAsia="宋体" w:cs="Times New Roman"/>
                <w:kern w:val="0"/>
                <w:szCs w:val="21"/>
              </w:rPr>
              <w:t>重点区域生态保护与修复工程</w:t>
            </w:r>
          </w:p>
        </w:tc>
        <w:tc>
          <w:tcPr>
            <w:tcW w:w="239" w:type="pct"/>
            <w:shd w:val="clear" w:color="000000" w:fill="FFFFFF"/>
            <w:vAlign w:val="center"/>
          </w:tcPr>
          <w:p w14:paraId="77D37BE6">
            <w:pPr>
              <w:snapToGrid w:val="0"/>
              <w:jc w:val="center"/>
              <w:rPr>
                <w:rFonts w:eastAsia="宋体" w:cs="Times New Roman"/>
                <w:kern w:val="0"/>
                <w:szCs w:val="21"/>
              </w:rPr>
            </w:pPr>
            <w:r>
              <w:rPr>
                <w:rFonts w:eastAsia="宋体" w:cs="Times New Roman"/>
                <w:kern w:val="0"/>
                <w:sz w:val="20"/>
                <w:szCs w:val="20"/>
              </w:rPr>
              <w:t>新建</w:t>
            </w:r>
          </w:p>
        </w:tc>
        <w:tc>
          <w:tcPr>
            <w:tcW w:w="2288" w:type="pct"/>
            <w:shd w:val="clear" w:color="000000" w:fill="FFFFFF"/>
            <w:vAlign w:val="center"/>
          </w:tcPr>
          <w:p w14:paraId="074514EE">
            <w:pPr>
              <w:jc w:val="center"/>
              <w:rPr>
                <w:rFonts w:eastAsia="宋体" w:cs="Times New Roman"/>
                <w:kern w:val="0"/>
                <w:szCs w:val="21"/>
              </w:rPr>
            </w:pPr>
            <w:r>
              <w:rPr>
                <w:rFonts w:eastAsia="宋体" w:cs="Times New Roman"/>
                <w:kern w:val="0"/>
                <w:szCs w:val="21"/>
              </w:rPr>
              <w:t>休牧围栏1万米草原改良2万亩，人贡种草2万亩</w:t>
            </w:r>
          </w:p>
        </w:tc>
        <w:tc>
          <w:tcPr>
            <w:tcW w:w="506" w:type="pct"/>
            <w:vAlign w:val="center"/>
          </w:tcPr>
          <w:p w14:paraId="00409102">
            <w:pPr>
              <w:snapToGrid w:val="0"/>
              <w:jc w:val="center"/>
              <w:rPr>
                <w:rFonts w:eastAsia="宋体" w:cs="Times New Roman"/>
                <w:kern w:val="0"/>
                <w:szCs w:val="21"/>
                <w:highlight w:val="yellow"/>
              </w:rPr>
            </w:pPr>
            <w:r>
              <w:rPr>
                <w:rFonts w:hint="eastAsia" w:eastAsia="宋体" w:cs="Times New Roman"/>
                <w:kern w:val="0"/>
                <w:szCs w:val="21"/>
              </w:rPr>
              <w:t>2025-20</w:t>
            </w:r>
            <w:r>
              <w:rPr>
                <w:rFonts w:eastAsia="宋体" w:cs="Times New Roman"/>
                <w:kern w:val="0"/>
                <w:szCs w:val="21"/>
              </w:rPr>
              <w:t>30</w:t>
            </w:r>
          </w:p>
        </w:tc>
        <w:tc>
          <w:tcPr>
            <w:tcW w:w="506" w:type="pct"/>
            <w:vAlign w:val="center"/>
          </w:tcPr>
          <w:p w14:paraId="4807A316">
            <w:pPr>
              <w:rPr>
                <w:rFonts w:eastAsia="宋体" w:cs="Times New Roman"/>
                <w:kern w:val="0"/>
                <w:szCs w:val="21"/>
              </w:rPr>
            </w:pPr>
            <w:r>
              <w:rPr>
                <w:rFonts w:eastAsia="宋体" w:cs="Times New Roman"/>
                <w:kern w:val="0"/>
                <w:szCs w:val="21"/>
              </w:rPr>
              <w:t>俄西乡伟村，玉西乡拉绕村、色然村、巴村</w:t>
            </w:r>
          </w:p>
        </w:tc>
        <w:tc>
          <w:tcPr>
            <w:tcW w:w="406" w:type="pct"/>
            <w:noWrap/>
          </w:tcPr>
          <w:p w14:paraId="68086705">
            <w:pPr>
              <w:jc w:val="center"/>
              <w:rPr>
                <w:rFonts w:eastAsia="宋体" w:cs="Times New Roman"/>
                <w:kern w:val="0"/>
                <w:szCs w:val="21"/>
              </w:rPr>
            </w:pPr>
            <w:r>
              <w:rPr>
                <w:rFonts w:eastAsia="宋体" w:cs="Times New Roman"/>
                <w:kern w:val="0"/>
                <w:szCs w:val="21"/>
              </w:rPr>
              <w:t>798</w:t>
            </w:r>
          </w:p>
        </w:tc>
        <w:tc>
          <w:tcPr>
            <w:tcW w:w="395" w:type="pct"/>
            <w:vAlign w:val="center"/>
          </w:tcPr>
          <w:p w14:paraId="256525DA">
            <w:pPr>
              <w:jc w:val="center"/>
              <w:rPr>
                <w:rFonts w:eastAsia="宋体" w:cs="Times New Roman"/>
                <w:kern w:val="0"/>
                <w:szCs w:val="21"/>
              </w:rPr>
            </w:pPr>
            <w:r>
              <w:rPr>
                <w:rFonts w:eastAsia="宋体" w:cs="Times New Roman"/>
                <w:kern w:val="0"/>
                <w:szCs w:val="21"/>
              </w:rPr>
              <w:t>县林草局</w:t>
            </w:r>
          </w:p>
        </w:tc>
      </w:tr>
      <w:tr w14:paraId="4EB98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 w:type="pct"/>
            <w:gridSpan w:val="2"/>
            <w:shd w:val="clear" w:color="auto" w:fill="auto"/>
            <w:vAlign w:val="center"/>
          </w:tcPr>
          <w:p w14:paraId="5BC67A58">
            <w:pPr>
              <w:jc w:val="center"/>
              <w:rPr>
                <w:rFonts w:eastAsia="宋体" w:cs="Times New Roman"/>
                <w:kern w:val="0"/>
                <w:szCs w:val="21"/>
              </w:rPr>
            </w:pPr>
            <w:r>
              <w:rPr>
                <w:rFonts w:hint="eastAsia" w:eastAsia="宋体" w:cs="Times New Roman"/>
                <w:kern w:val="0"/>
                <w:szCs w:val="21"/>
              </w:rPr>
              <w:t>5</w:t>
            </w:r>
          </w:p>
        </w:tc>
        <w:tc>
          <w:tcPr>
            <w:tcW w:w="466" w:type="pct"/>
            <w:shd w:val="clear" w:color="auto" w:fill="auto"/>
            <w:vAlign w:val="center"/>
          </w:tcPr>
          <w:p w14:paraId="68505CB4">
            <w:pPr>
              <w:jc w:val="center"/>
              <w:textAlignment w:val="center"/>
              <w:rPr>
                <w:rFonts w:eastAsia="宋体" w:cs="Times New Roman"/>
                <w:kern w:val="0"/>
                <w:szCs w:val="21"/>
              </w:rPr>
            </w:pPr>
            <w:r>
              <w:rPr>
                <w:rFonts w:eastAsia="宋体" w:cs="Times New Roman"/>
                <w:kern w:val="0"/>
                <w:szCs w:val="21"/>
                <w:lang w:bidi="ar"/>
              </w:rPr>
              <w:t>洛隆县卓玛朗措曲流域水生态保护治理</w:t>
            </w:r>
          </w:p>
        </w:tc>
        <w:tc>
          <w:tcPr>
            <w:tcW w:w="239" w:type="pct"/>
            <w:shd w:val="clear" w:color="000000" w:fill="FFFFFF"/>
            <w:vAlign w:val="center"/>
          </w:tcPr>
          <w:p w14:paraId="6E016451">
            <w:pPr>
              <w:snapToGrid w:val="0"/>
              <w:jc w:val="center"/>
              <w:rPr>
                <w:rFonts w:eastAsia="宋体" w:cs="Times New Roman"/>
                <w:kern w:val="0"/>
                <w:szCs w:val="21"/>
              </w:rPr>
            </w:pPr>
            <w:r>
              <w:rPr>
                <w:rFonts w:eastAsia="宋体" w:cs="Times New Roman"/>
                <w:kern w:val="0"/>
                <w:sz w:val="20"/>
                <w:szCs w:val="20"/>
              </w:rPr>
              <w:t>新建</w:t>
            </w:r>
          </w:p>
        </w:tc>
        <w:tc>
          <w:tcPr>
            <w:tcW w:w="2288" w:type="pct"/>
            <w:shd w:val="clear" w:color="000000" w:fill="FFFFFF"/>
            <w:vAlign w:val="center"/>
          </w:tcPr>
          <w:p w14:paraId="46726C17">
            <w:pPr>
              <w:jc w:val="center"/>
              <w:textAlignment w:val="center"/>
              <w:rPr>
                <w:rFonts w:eastAsia="宋体" w:cs="Times New Roman"/>
                <w:kern w:val="0"/>
                <w:szCs w:val="21"/>
              </w:rPr>
            </w:pPr>
            <w:r>
              <w:rPr>
                <w:rFonts w:eastAsia="宋体" w:cs="Times New Roman"/>
                <w:kern w:val="0"/>
                <w:szCs w:val="21"/>
                <w:lang w:bidi="ar"/>
              </w:rPr>
              <w:t>修复流域面积0.237㎞²，综合治理程度达到83.10％，其中乔灌林木23.70hm²，封禁面积23.70hm²，流域村居开展生活污水治理，生活污水治理率达85％以上。</w:t>
            </w:r>
          </w:p>
        </w:tc>
        <w:tc>
          <w:tcPr>
            <w:tcW w:w="506" w:type="pct"/>
            <w:vAlign w:val="center"/>
          </w:tcPr>
          <w:p w14:paraId="2EA98127">
            <w:pPr>
              <w:snapToGrid w:val="0"/>
              <w:jc w:val="center"/>
              <w:rPr>
                <w:rFonts w:eastAsia="宋体" w:cs="Times New Roman"/>
                <w:kern w:val="0"/>
                <w:szCs w:val="21"/>
              </w:rPr>
            </w:pPr>
            <w:r>
              <w:rPr>
                <w:rFonts w:eastAsia="宋体" w:cs="Times New Roman"/>
                <w:kern w:val="0"/>
                <w:szCs w:val="21"/>
              </w:rPr>
              <w:t>2022~2023</w:t>
            </w:r>
          </w:p>
        </w:tc>
        <w:tc>
          <w:tcPr>
            <w:tcW w:w="506" w:type="pct"/>
            <w:vAlign w:val="center"/>
          </w:tcPr>
          <w:p w14:paraId="37CC83FE">
            <w:pPr>
              <w:jc w:val="center"/>
              <w:textAlignment w:val="center"/>
              <w:rPr>
                <w:rFonts w:eastAsia="宋体" w:cs="Times New Roman"/>
                <w:kern w:val="0"/>
                <w:szCs w:val="21"/>
              </w:rPr>
            </w:pPr>
            <w:r>
              <w:rPr>
                <w:rFonts w:eastAsia="宋体" w:cs="Times New Roman"/>
                <w:kern w:val="0"/>
                <w:szCs w:val="21"/>
                <w:lang w:bidi="ar"/>
              </w:rPr>
              <w:t>孜托镇</w:t>
            </w:r>
          </w:p>
        </w:tc>
        <w:tc>
          <w:tcPr>
            <w:tcW w:w="406" w:type="pct"/>
            <w:noWrap/>
            <w:vAlign w:val="center"/>
          </w:tcPr>
          <w:p w14:paraId="3BF08469">
            <w:pPr>
              <w:jc w:val="center"/>
              <w:textAlignment w:val="center"/>
              <w:rPr>
                <w:rFonts w:eastAsia="宋体" w:cs="Times New Roman"/>
                <w:kern w:val="0"/>
                <w:szCs w:val="21"/>
              </w:rPr>
            </w:pPr>
            <w:r>
              <w:rPr>
                <w:rFonts w:eastAsia="宋体" w:cs="Times New Roman"/>
                <w:kern w:val="0"/>
                <w:szCs w:val="21"/>
                <w:lang w:bidi="ar"/>
              </w:rPr>
              <w:t>3952.80</w:t>
            </w:r>
          </w:p>
        </w:tc>
        <w:tc>
          <w:tcPr>
            <w:tcW w:w="395" w:type="pct"/>
            <w:vAlign w:val="center"/>
          </w:tcPr>
          <w:p w14:paraId="15148185">
            <w:pPr>
              <w:jc w:val="center"/>
              <w:rPr>
                <w:rFonts w:eastAsia="宋体" w:cs="Times New Roman"/>
                <w:kern w:val="0"/>
                <w:szCs w:val="21"/>
              </w:rPr>
            </w:pPr>
            <w:r>
              <w:rPr>
                <w:rFonts w:eastAsia="宋体" w:cs="Times New Roman"/>
                <w:szCs w:val="21"/>
              </w:rPr>
              <w:t>县生态环境局</w:t>
            </w:r>
          </w:p>
        </w:tc>
      </w:tr>
      <w:tr w14:paraId="44FFC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 w:type="pct"/>
            <w:gridSpan w:val="2"/>
            <w:shd w:val="clear" w:color="auto" w:fill="auto"/>
            <w:vAlign w:val="center"/>
          </w:tcPr>
          <w:p w14:paraId="3EC33217">
            <w:pPr>
              <w:jc w:val="center"/>
              <w:rPr>
                <w:rFonts w:eastAsia="宋体" w:cs="Times New Roman"/>
                <w:kern w:val="0"/>
                <w:szCs w:val="21"/>
              </w:rPr>
            </w:pPr>
            <w:r>
              <w:rPr>
                <w:rFonts w:hint="eastAsia" w:eastAsia="宋体" w:cs="Times New Roman"/>
                <w:kern w:val="0"/>
                <w:szCs w:val="21"/>
              </w:rPr>
              <w:t>6</w:t>
            </w:r>
          </w:p>
        </w:tc>
        <w:tc>
          <w:tcPr>
            <w:tcW w:w="466" w:type="pct"/>
            <w:shd w:val="clear" w:color="auto" w:fill="auto"/>
            <w:vAlign w:val="center"/>
          </w:tcPr>
          <w:p w14:paraId="6165669C">
            <w:pPr>
              <w:jc w:val="center"/>
              <w:textAlignment w:val="center"/>
              <w:rPr>
                <w:rFonts w:eastAsia="宋体" w:cs="Times New Roman"/>
                <w:kern w:val="0"/>
                <w:szCs w:val="21"/>
              </w:rPr>
            </w:pPr>
            <w:r>
              <w:rPr>
                <w:rFonts w:eastAsia="宋体" w:cs="Times New Roman"/>
                <w:kern w:val="0"/>
                <w:szCs w:val="21"/>
                <w:lang w:bidi="ar"/>
              </w:rPr>
              <w:t>康沙曲流域水生态保护治理</w:t>
            </w:r>
          </w:p>
        </w:tc>
        <w:tc>
          <w:tcPr>
            <w:tcW w:w="239" w:type="pct"/>
            <w:shd w:val="clear" w:color="000000" w:fill="FFFFFF"/>
            <w:vAlign w:val="center"/>
          </w:tcPr>
          <w:p w14:paraId="0A1E48BD">
            <w:pPr>
              <w:snapToGrid w:val="0"/>
              <w:jc w:val="center"/>
              <w:rPr>
                <w:rFonts w:eastAsia="宋体" w:cs="Times New Roman"/>
                <w:kern w:val="0"/>
                <w:szCs w:val="21"/>
              </w:rPr>
            </w:pPr>
            <w:r>
              <w:rPr>
                <w:rFonts w:eastAsia="宋体" w:cs="Times New Roman"/>
                <w:kern w:val="0"/>
                <w:sz w:val="20"/>
                <w:szCs w:val="20"/>
              </w:rPr>
              <w:t>新建</w:t>
            </w:r>
          </w:p>
        </w:tc>
        <w:tc>
          <w:tcPr>
            <w:tcW w:w="2288" w:type="pct"/>
            <w:shd w:val="clear" w:color="000000" w:fill="FFFFFF"/>
            <w:vAlign w:val="center"/>
          </w:tcPr>
          <w:p w14:paraId="46D93AE0">
            <w:pPr>
              <w:jc w:val="center"/>
              <w:textAlignment w:val="center"/>
              <w:rPr>
                <w:rFonts w:eastAsia="宋体" w:cs="Times New Roman"/>
                <w:kern w:val="0"/>
                <w:szCs w:val="21"/>
              </w:rPr>
            </w:pPr>
            <w:r>
              <w:rPr>
                <w:rFonts w:eastAsia="宋体" w:cs="Times New Roman"/>
                <w:kern w:val="0"/>
                <w:szCs w:val="21"/>
                <w:lang w:bidi="ar"/>
              </w:rPr>
              <w:t>开展康沙曲流域生态修复，修建挡土墙、铅丝石笼网。</w:t>
            </w:r>
          </w:p>
        </w:tc>
        <w:tc>
          <w:tcPr>
            <w:tcW w:w="506" w:type="pct"/>
            <w:vAlign w:val="center"/>
          </w:tcPr>
          <w:p w14:paraId="16B47067">
            <w:pPr>
              <w:snapToGrid w:val="0"/>
              <w:jc w:val="center"/>
              <w:rPr>
                <w:rFonts w:eastAsia="宋体" w:cs="Times New Roman"/>
                <w:kern w:val="0"/>
                <w:szCs w:val="21"/>
              </w:rPr>
            </w:pPr>
            <w:r>
              <w:rPr>
                <w:rFonts w:eastAsia="宋体" w:cs="Times New Roman"/>
                <w:kern w:val="0"/>
                <w:szCs w:val="21"/>
              </w:rPr>
              <w:t>2022~2023</w:t>
            </w:r>
          </w:p>
        </w:tc>
        <w:tc>
          <w:tcPr>
            <w:tcW w:w="506" w:type="pct"/>
            <w:vAlign w:val="center"/>
          </w:tcPr>
          <w:p w14:paraId="2348EEC5">
            <w:pPr>
              <w:jc w:val="center"/>
              <w:textAlignment w:val="center"/>
              <w:rPr>
                <w:rFonts w:eastAsia="宋体" w:cs="Times New Roman"/>
                <w:kern w:val="0"/>
                <w:szCs w:val="21"/>
              </w:rPr>
            </w:pPr>
            <w:r>
              <w:rPr>
                <w:rFonts w:eastAsia="宋体" w:cs="Times New Roman"/>
                <w:kern w:val="0"/>
                <w:szCs w:val="21"/>
                <w:lang w:bidi="ar"/>
              </w:rPr>
              <w:t>康沙镇</w:t>
            </w:r>
          </w:p>
        </w:tc>
        <w:tc>
          <w:tcPr>
            <w:tcW w:w="406" w:type="pct"/>
            <w:noWrap/>
            <w:vAlign w:val="center"/>
          </w:tcPr>
          <w:p w14:paraId="3FFCBCC1">
            <w:pPr>
              <w:jc w:val="center"/>
              <w:textAlignment w:val="center"/>
              <w:rPr>
                <w:rFonts w:eastAsia="宋体" w:cs="Times New Roman"/>
                <w:kern w:val="0"/>
                <w:szCs w:val="21"/>
              </w:rPr>
            </w:pPr>
            <w:r>
              <w:rPr>
                <w:rFonts w:eastAsia="宋体" w:cs="Times New Roman"/>
                <w:kern w:val="0"/>
                <w:szCs w:val="21"/>
                <w:lang w:bidi="ar"/>
              </w:rPr>
              <w:t>2500.00</w:t>
            </w:r>
          </w:p>
        </w:tc>
        <w:tc>
          <w:tcPr>
            <w:tcW w:w="395" w:type="pct"/>
            <w:vAlign w:val="center"/>
          </w:tcPr>
          <w:p w14:paraId="5DE21300">
            <w:pPr>
              <w:jc w:val="center"/>
              <w:rPr>
                <w:rFonts w:eastAsia="宋体" w:cs="Times New Roman"/>
                <w:kern w:val="0"/>
                <w:szCs w:val="21"/>
              </w:rPr>
            </w:pPr>
            <w:r>
              <w:rPr>
                <w:rFonts w:eastAsia="宋体" w:cs="Times New Roman"/>
                <w:szCs w:val="21"/>
              </w:rPr>
              <w:t>县生态环境局</w:t>
            </w:r>
          </w:p>
        </w:tc>
      </w:tr>
      <w:tr w14:paraId="2F190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 w:type="pct"/>
            <w:gridSpan w:val="2"/>
            <w:shd w:val="clear" w:color="auto" w:fill="auto"/>
            <w:vAlign w:val="center"/>
          </w:tcPr>
          <w:p w14:paraId="247B93EC">
            <w:pPr>
              <w:jc w:val="center"/>
              <w:rPr>
                <w:rFonts w:eastAsia="宋体" w:cs="Times New Roman"/>
                <w:kern w:val="0"/>
                <w:szCs w:val="21"/>
              </w:rPr>
            </w:pPr>
            <w:r>
              <w:rPr>
                <w:rFonts w:hint="eastAsia" w:eastAsia="宋体" w:cs="Times New Roman"/>
                <w:kern w:val="0"/>
                <w:szCs w:val="21"/>
              </w:rPr>
              <w:t>7</w:t>
            </w:r>
          </w:p>
        </w:tc>
        <w:tc>
          <w:tcPr>
            <w:tcW w:w="466" w:type="pct"/>
            <w:shd w:val="clear" w:color="auto" w:fill="auto"/>
            <w:vAlign w:val="center"/>
          </w:tcPr>
          <w:p w14:paraId="33E69835">
            <w:pPr>
              <w:jc w:val="center"/>
              <w:textAlignment w:val="center"/>
              <w:rPr>
                <w:rFonts w:eastAsia="宋体" w:cs="Times New Roman"/>
                <w:kern w:val="0"/>
                <w:szCs w:val="21"/>
              </w:rPr>
            </w:pPr>
            <w:r>
              <w:rPr>
                <w:rFonts w:eastAsia="宋体" w:cs="Times New Roman"/>
                <w:kern w:val="0"/>
                <w:szCs w:val="21"/>
                <w:lang w:bidi="ar"/>
              </w:rPr>
              <w:t>洛隆县环境保护监测站</w:t>
            </w:r>
          </w:p>
        </w:tc>
        <w:tc>
          <w:tcPr>
            <w:tcW w:w="239" w:type="pct"/>
            <w:shd w:val="clear" w:color="000000" w:fill="FFFFFF"/>
            <w:vAlign w:val="center"/>
          </w:tcPr>
          <w:p w14:paraId="3069EA11">
            <w:pPr>
              <w:snapToGrid w:val="0"/>
              <w:jc w:val="center"/>
              <w:rPr>
                <w:rFonts w:eastAsia="宋体" w:cs="Times New Roman"/>
                <w:kern w:val="0"/>
                <w:szCs w:val="21"/>
              </w:rPr>
            </w:pPr>
            <w:r>
              <w:rPr>
                <w:rFonts w:eastAsia="宋体" w:cs="Times New Roman"/>
                <w:kern w:val="0"/>
                <w:sz w:val="20"/>
                <w:szCs w:val="20"/>
              </w:rPr>
              <w:t>新建</w:t>
            </w:r>
          </w:p>
        </w:tc>
        <w:tc>
          <w:tcPr>
            <w:tcW w:w="2288" w:type="pct"/>
            <w:shd w:val="clear" w:color="000000" w:fill="FFFFFF"/>
            <w:vAlign w:val="center"/>
          </w:tcPr>
          <w:p w14:paraId="6A456C95">
            <w:pPr>
              <w:jc w:val="center"/>
              <w:textAlignment w:val="center"/>
              <w:rPr>
                <w:rFonts w:eastAsia="宋体" w:cs="Times New Roman"/>
                <w:kern w:val="0"/>
                <w:szCs w:val="21"/>
              </w:rPr>
            </w:pPr>
            <w:r>
              <w:rPr>
                <w:rFonts w:eastAsia="宋体" w:cs="Times New Roman"/>
                <w:kern w:val="0"/>
                <w:szCs w:val="21"/>
                <w:lang w:bidi="ar"/>
              </w:rPr>
              <w:t>新建大气、水、土壤检测用房，建筑面积1200平米，购置检测设备以及聘请专业人员开展监测工作。</w:t>
            </w:r>
          </w:p>
        </w:tc>
        <w:tc>
          <w:tcPr>
            <w:tcW w:w="506" w:type="pct"/>
            <w:vAlign w:val="center"/>
          </w:tcPr>
          <w:p w14:paraId="04638B3D">
            <w:pPr>
              <w:snapToGrid w:val="0"/>
              <w:jc w:val="center"/>
              <w:rPr>
                <w:rFonts w:eastAsia="宋体" w:cs="Times New Roman"/>
                <w:kern w:val="0"/>
                <w:szCs w:val="21"/>
              </w:rPr>
            </w:pPr>
            <w:r>
              <w:rPr>
                <w:rFonts w:eastAsia="宋体" w:cs="Times New Roman"/>
                <w:kern w:val="0"/>
                <w:szCs w:val="21"/>
              </w:rPr>
              <w:t>2022~2023</w:t>
            </w:r>
          </w:p>
        </w:tc>
        <w:tc>
          <w:tcPr>
            <w:tcW w:w="506" w:type="pct"/>
            <w:vAlign w:val="center"/>
          </w:tcPr>
          <w:p w14:paraId="79E16757">
            <w:pPr>
              <w:jc w:val="center"/>
              <w:textAlignment w:val="center"/>
              <w:rPr>
                <w:rFonts w:eastAsia="宋体" w:cs="Times New Roman"/>
                <w:kern w:val="0"/>
                <w:szCs w:val="21"/>
              </w:rPr>
            </w:pPr>
            <w:r>
              <w:rPr>
                <w:rFonts w:eastAsia="宋体" w:cs="Times New Roman"/>
                <w:kern w:val="0"/>
                <w:szCs w:val="21"/>
                <w:lang w:bidi="ar"/>
              </w:rPr>
              <w:t>县城</w:t>
            </w:r>
          </w:p>
        </w:tc>
        <w:tc>
          <w:tcPr>
            <w:tcW w:w="406" w:type="pct"/>
            <w:noWrap/>
            <w:vAlign w:val="center"/>
          </w:tcPr>
          <w:p w14:paraId="5746800C">
            <w:pPr>
              <w:jc w:val="center"/>
              <w:textAlignment w:val="center"/>
              <w:rPr>
                <w:rFonts w:eastAsia="宋体" w:cs="Times New Roman"/>
                <w:kern w:val="0"/>
                <w:szCs w:val="21"/>
              </w:rPr>
            </w:pPr>
            <w:r>
              <w:rPr>
                <w:rFonts w:eastAsia="宋体" w:cs="Times New Roman"/>
                <w:kern w:val="0"/>
                <w:szCs w:val="21"/>
                <w:lang w:bidi="ar"/>
              </w:rPr>
              <w:t>1000.00</w:t>
            </w:r>
          </w:p>
        </w:tc>
        <w:tc>
          <w:tcPr>
            <w:tcW w:w="395" w:type="pct"/>
            <w:vAlign w:val="center"/>
          </w:tcPr>
          <w:p w14:paraId="46AB278C">
            <w:pPr>
              <w:jc w:val="center"/>
              <w:rPr>
                <w:rFonts w:eastAsia="宋体" w:cs="Times New Roman"/>
                <w:kern w:val="0"/>
                <w:szCs w:val="21"/>
              </w:rPr>
            </w:pPr>
            <w:r>
              <w:rPr>
                <w:rFonts w:eastAsia="宋体" w:cs="Times New Roman"/>
                <w:szCs w:val="21"/>
              </w:rPr>
              <w:t>县生态环境局</w:t>
            </w:r>
          </w:p>
        </w:tc>
      </w:tr>
      <w:tr w14:paraId="2C727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 w:type="pct"/>
            <w:gridSpan w:val="2"/>
            <w:shd w:val="clear" w:color="auto" w:fill="auto"/>
            <w:vAlign w:val="center"/>
          </w:tcPr>
          <w:p w14:paraId="6D69A3F2">
            <w:pPr>
              <w:jc w:val="center"/>
              <w:rPr>
                <w:rFonts w:eastAsia="宋体" w:cs="Times New Roman"/>
                <w:kern w:val="0"/>
                <w:szCs w:val="21"/>
              </w:rPr>
            </w:pPr>
            <w:r>
              <w:rPr>
                <w:rFonts w:hint="eastAsia" w:eastAsia="宋体" w:cs="Times New Roman"/>
                <w:kern w:val="0"/>
                <w:szCs w:val="21"/>
              </w:rPr>
              <w:t>8</w:t>
            </w:r>
          </w:p>
        </w:tc>
        <w:tc>
          <w:tcPr>
            <w:tcW w:w="466" w:type="pct"/>
            <w:shd w:val="clear" w:color="auto" w:fill="auto"/>
            <w:vAlign w:val="center"/>
          </w:tcPr>
          <w:p w14:paraId="08C37640">
            <w:pPr>
              <w:jc w:val="center"/>
              <w:textAlignment w:val="center"/>
              <w:rPr>
                <w:rFonts w:eastAsia="宋体" w:cs="Times New Roman"/>
                <w:kern w:val="0"/>
                <w:szCs w:val="21"/>
              </w:rPr>
            </w:pPr>
            <w:r>
              <w:rPr>
                <w:rFonts w:eastAsia="宋体" w:cs="Times New Roman"/>
                <w:kern w:val="0"/>
                <w:szCs w:val="21"/>
                <w:lang w:bidi="ar"/>
              </w:rPr>
              <w:t>洛隆县70个村（社）农村环境综合治理项目</w:t>
            </w:r>
          </w:p>
        </w:tc>
        <w:tc>
          <w:tcPr>
            <w:tcW w:w="239" w:type="pct"/>
            <w:shd w:val="clear" w:color="000000" w:fill="FFFFFF"/>
            <w:vAlign w:val="center"/>
          </w:tcPr>
          <w:p w14:paraId="4D9C2820">
            <w:pPr>
              <w:snapToGrid w:val="0"/>
              <w:jc w:val="center"/>
              <w:rPr>
                <w:rFonts w:eastAsia="宋体" w:cs="Times New Roman"/>
                <w:kern w:val="0"/>
                <w:szCs w:val="21"/>
              </w:rPr>
            </w:pPr>
            <w:r>
              <w:rPr>
                <w:rFonts w:eastAsia="宋体" w:cs="Times New Roman"/>
                <w:kern w:val="0"/>
                <w:sz w:val="20"/>
                <w:szCs w:val="20"/>
              </w:rPr>
              <w:t>新建</w:t>
            </w:r>
          </w:p>
        </w:tc>
        <w:tc>
          <w:tcPr>
            <w:tcW w:w="2288" w:type="pct"/>
            <w:shd w:val="clear" w:color="000000" w:fill="FFFFFF"/>
            <w:vAlign w:val="center"/>
          </w:tcPr>
          <w:p w14:paraId="7ABC3A46">
            <w:pPr>
              <w:jc w:val="center"/>
              <w:textAlignment w:val="center"/>
              <w:rPr>
                <w:rFonts w:eastAsia="宋体" w:cs="Times New Roman"/>
                <w:kern w:val="0"/>
                <w:szCs w:val="21"/>
              </w:rPr>
            </w:pPr>
            <w:r>
              <w:rPr>
                <w:rFonts w:eastAsia="宋体" w:cs="Times New Roman"/>
                <w:kern w:val="0"/>
                <w:szCs w:val="21"/>
                <w:lang w:bidi="ar"/>
              </w:rPr>
              <w:t>修建垃圾收集池，规模为30㎡，配套垃圾桶每个村社20个，更新70个村居水源地保护措施，设立网围栏、标识标牌以及在各村社环境保护宣传栏1张，共70张。</w:t>
            </w:r>
          </w:p>
        </w:tc>
        <w:tc>
          <w:tcPr>
            <w:tcW w:w="506" w:type="pct"/>
            <w:vAlign w:val="center"/>
          </w:tcPr>
          <w:p w14:paraId="221489CA">
            <w:pPr>
              <w:snapToGrid w:val="0"/>
              <w:jc w:val="center"/>
              <w:rPr>
                <w:rFonts w:eastAsia="宋体" w:cs="Times New Roman"/>
                <w:kern w:val="0"/>
                <w:szCs w:val="21"/>
              </w:rPr>
            </w:pPr>
            <w:r>
              <w:rPr>
                <w:rFonts w:eastAsia="宋体" w:cs="Times New Roman"/>
                <w:kern w:val="0"/>
                <w:szCs w:val="21"/>
              </w:rPr>
              <w:t>2023~2024</w:t>
            </w:r>
          </w:p>
        </w:tc>
        <w:tc>
          <w:tcPr>
            <w:tcW w:w="506" w:type="pct"/>
            <w:vAlign w:val="center"/>
          </w:tcPr>
          <w:p w14:paraId="08F6D5B0">
            <w:pPr>
              <w:jc w:val="center"/>
              <w:textAlignment w:val="center"/>
              <w:rPr>
                <w:rFonts w:eastAsia="宋体" w:cs="Times New Roman"/>
                <w:kern w:val="0"/>
                <w:szCs w:val="21"/>
              </w:rPr>
            </w:pPr>
            <w:r>
              <w:rPr>
                <w:rFonts w:eastAsia="宋体" w:cs="Times New Roman"/>
                <w:kern w:val="0"/>
                <w:szCs w:val="21"/>
                <w:lang w:bidi="ar"/>
              </w:rPr>
              <w:t>全县</w:t>
            </w:r>
          </w:p>
        </w:tc>
        <w:tc>
          <w:tcPr>
            <w:tcW w:w="406" w:type="pct"/>
            <w:noWrap/>
            <w:vAlign w:val="center"/>
          </w:tcPr>
          <w:p w14:paraId="00708979">
            <w:pPr>
              <w:jc w:val="center"/>
              <w:textAlignment w:val="center"/>
              <w:rPr>
                <w:rFonts w:eastAsia="宋体" w:cs="Times New Roman"/>
                <w:kern w:val="0"/>
                <w:szCs w:val="21"/>
              </w:rPr>
            </w:pPr>
            <w:r>
              <w:rPr>
                <w:rFonts w:eastAsia="宋体" w:cs="Times New Roman"/>
                <w:kern w:val="0"/>
                <w:szCs w:val="21"/>
                <w:lang w:bidi="ar"/>
              </w:rPr>
              <w:t>1876.00</w:t>
            </w:r>
          </w:p>
        </w:tc>
        <w:tc>
          <w:tcPr>
            <w:tcW w:w="395" w:type="pct"/>
            <w:vAlign w:val="center"/>
          </w:tcPr>
          <w:p w14:paraId="785693D6">
            <w:pPr>
              <w:jc w:val="center"/>
              <w:rPr>
                <w:rFonts w:eastAsia="宋体" w:cs="Times New Roman"/>
                <w:kern w:val="0"/>
                <w:szCs w:val="21"/>
              </w:rPr>
            </w:pPr>
            <w:r>
              <w:rPr>
                <w:rFonts w:eastAsia="宋体" w:cs="Times New Roman"/>
                <w:szCs w:val="21"/>
              </w:rPr>
              <w:t>县生态环境局</w:t>
            </w:r>
          </w:p>
        </w:tc>
      </w:tr>
      <w:tr w14:paraId="25E3A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 w:type="pct"/>
            <w:gridSpan w:val="2"/>
            <w:shd w:val="clear" w:color="auto" w:fill="auto"/>
            <w:vAlign w:val="center"/>
          </w:tcPr>
          <w:p w14:paraId="3D746630">
            <w:pPr>
              <w:jc w:val="center"/>
              <w:rPr>
                <w:rFonts w:eastAsia="宋体" w:cs="Times New Roman"/>
                <w:kern w:val="0"/>
                <w:szCs w:val="21"/>
              </w:rPr>
            </w:pPr>
            <w:r>
              <w:rPr>
                <w:rFonts w:hint="eastAsia" w:eastAsia="宋体" w:cs="Times New Roman"/>
                <w:kern w:val="0"/>
                <w:szCs w:val="21"/>
              </w:rPr>
              <w:t>9</w:t>
            </w:r>
          </w:p>
        </w:tc>
        <w:tc>
          <w:tcPr>
            <w:tcW w:w="466" w:type="pct"/>
            <w:shd w:val="clear" w:color="auto" w:fill="auto"/>
            <w:vAlign w:val="center"/>
          </w:tcPr>
          <w:p w14:paraId="35811202">
            <w:pPr>
              <w:jc w:val="center"/>
              <w:textAlignment w:val="center"/>
              <w:rPr>
                <w:rFonts w:eastAsia="宋体" w:cs="Times New Roman"/>
                <w:kern w:val="0"/>
                <w:szCs w:val="21"/>
              </w:rPr>
            </w:pPr>
            <w:r>
              <w:rPr>
                <w:rFonts w:eastAsia="宋体" w:cs="Times New Roman"/>
                <w:kern w:val="0"/>
                <w:szCs w:val="21"/>
                <w:lang w:bidi="ar"/>
              </w:rPr>
              <w:t>千人以上饮用水水源地保护</w:t>
            </w:r>
          </w:p>
        </w:tc>
        <w:tc>
          <w:tcPr>
            <w:tcW w:w="239" w:type="pct"/>
            <w:shd w:val="clear" w:color="000000" w:fill="FFFFFF"/>
            <w:vAlign w:val="center"/>
          </w:tcPr>
          <w:p w14:paraId="339CB703">
            <w:pPr>
              <w:snapToGrid w:val="0"/>
              <w:jc w:val="center"/>
              <w:rPr>
                <w:rFonts w:eastAsia="宋体" w:cs="Times New Roman"/>
                <w:kern w:val="0"/>
                <w:szCs w:val="21"/>
              </w:rPr>
            </w:pPr>
            <w:r>
              <w:rPr>
                <w:rFonts w:eastAsia="宋体" w:cs="Times New Roman"/>
                <w:kern w:val="0"/>
                <w:sz w:val="20"/>
                <w:szCs w:val="20"/>
              </w:rPr>
              <w:t>新建</w:t>
            </w:r>
          </w:p>
        </w:tc>
        <w:tc>
          <w:tcPr>
            <w:tcW w:w="2288" w:type="pct"/>
            <w:shd w:val="clear" w:color="000000" w:fill="FFFFFF"/>
            <w:vAlign w:val="center"/>
          </w:tcPr>
          <w:p w14:paraId="1E25B13A">
            <w:pPr>
              <w:jc w:val="center"/>
              <w:textAlignment w:val="center"/>
              <w:rPr>
                <w:rFonts w:eastAsia="宋体" w:cs="Times New Roman"/>
                <w:kern w:val="0"/>
                <w:szCs w:val="21"/>
              </w:rPr>
            </w:pPr>
            <w:r>
              <w:rPr>
                <w:rFonts w:eastAsia="宋体" w:cs="Times New Roman"/>
                <w:kern w:val="0"/>
                <w:szCs w:val="21"/>
                <w:lang w:bidi="ar"/>
              </w:rPr>
              <w:t>新建县城备用水源地、6个乡镇千人以上饮用水地在线监测，配套标识标牌及附属机房。</w:t>
            </w:r>
          </w:p>
        </w:tc>
        <w:tc>
          <w:tcPr>
            <w:tcW w:w="506" w:type="pct"/>
            <w:vAlign w:val="center"/>
          </w:tcPr>
          <w:p w14:paraId="270CCE52">
            <w:pPr>
              <w:snapToGrid w:val="0"/>
              <w:jc w:val="center"/>
              <w:rPr>
                <w:rFonts w:eastAsia="宋体" w:cs="Times New Roman"/>
                <w:kern w:val="0"/>
                <w:szCs w:val="21"/>
              </w:rPr>
            </w:pPr>
            <w:r>
              <w:rPr>
                <w:rFonts w:eastAsia="宋体" w:cs="Times New Roman"/>
                <w:kern w:val="0"/>
                <w:szCs w:val="21"/>
              </w:rPr>
              <w:t>2023~2024</w:t>
            </w:r>
          </w:p>
        </w:tc>
        <w:tc>
          <w:tcPr>
            <w:tcW w:w="506" w:type="pct"/>
            <w:vAlign w:val="center"/>
          </w:tcPr>
          <w:p w14:paraId="3153E7DF">
            <w:pPr>
              <w:jc w:val="center"/>
              <w:textAlignment w:val="center"/>
              <w:rPr>
                <w:rFonts w:eastAsia="宋体" w:cs="Times New Roman"/>
                <w:kern w:val="0"/>
                <w:szCs w:val="21"/>
              </w:rPr>
            </w:pPr>
            <w:r>
              <w:rPr>
                <w:rFonts w:eastAsia="宋体" w:cs="Times New Roman"/>
                <w:kern w:val="0"/>
                <w:szCs w:val="21"/>
                <w:lang w:bidi="ar"/>
              </w:rPr>
              <w:t>孜托镇、马利镇、康沙镇、硕督镇、中亦乡、俄西乡、腊久乡</w:t>
            </w:r>
          </w:p>
        </w:tc>
        <w:tc>
          <w:tcPr>
            <w:tcW w:w="406" w:type="pct"/>
            <w:noWrap/>
            <w:vAlign w:val="center"/>
          </w:tcPr>
          <w:p w14:paraId="7AF325CF">
            <w:pPr>
              <w:jc w:val="center"/>
              <w:textAlignment w:val="center"/>
              <w:rPr>
                <w:rFonts w:eastAsia="宋体" w:cs="Times New Roman"/>
                <w:kern w:val="0"/>
                <w:szCs w:val="21"/>
              </w:rPr>
            </w:pPr>
            <w:r>
              <w:rPr>
                <w:rFonts w:eastAsia="宋体" w:cs="Times New Roman"/>
                <w:kern w:val="0"/>
                <w:szCs w:val="21"/>
                <w:lang w:bidi="ar"/>
              </w:rPr>
              <w:t>1050.00</w:t>
            </w:r>
          </w:p>
        </w:tc>
        <w:tc>
          <w:tcPr>
            <w:tcW w:w="395" w:type="pct"/>
            <w:vAlign w:val="center"/>
          </w:tcPr>
          <w:p w14:paraId="5CFE6132">
            <w:pPr>
              <w:jc w:val="center"/>
              <w:rPr>
                <w:rFonts w:eastAsia="宋体" w:cs="Times New Roman"/>
                <w:kern w:val="0"/>
                <w:szCs w:val="21"/>
              </w:rPr>
            </w:pPr>
            <w:r>
              <w:rPr>
                <w:rFonts w:eastAsia="宋体" w:cs="Times New Roman"/>
                <w:szCs w:val="21"/>
              </w:rPr>
              <w:t>县生态环境局</w:t>
            </w:r>
          </w:p>
        </w:tc>
      </w:tr>
      <w:tr w14:paraId="2A62D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 w:type="pct"/>
            <w:gridSpan w:val="2"/>
            <w:shd w:val="clear" w:color="auto" w:fill="auto"/>
            <w:vAlign w:val="center"/>
          </w:tcPr>
          <w:p w14:paraId="290B7FB0">
            <w:pPr>
              <w:jc w:val="center"/>
              <w:rPr>
                <w:rFonts w:eastAsia="宋体" w:cs="Times New Roman"/>
                <w:kern w:val="0"/>
                <w:szCs w:val="21"/>
              </w:rPr>
            </w:pPr>
            <w:r>
              <w:rPr>
                <w:rFonts w:hint="eastAsia" w:eastAsia="宋体" w:cs="Times New Roman"/>
                <w:kern w:val="0"/>
                <w:szCs w:val="21"/>
              </w:rPr>
              <w:t>10</w:t>
            </w:r>
          </w:p>
        </w:tc>
        <w:tc>
          <w:tcPr>
            <w:tcW w:w="466" w:type="pct"/>
            <w:shd w:val="clear" w:color="auto" w:fill="auto"/>
            <w:vAlign w:val="center"/>
          </w:tcPr>
          <w:p w14:paraId="392E5A3B">
            <w:pPr>
              <w:jc w:val="center"/>
              <w:textAlignment w:val="center"/>
              <w:rPr>
                <w:rFonts w:eastAsia="宋体" w:cs="Times New Roman"/>
                <w:kern w:val="0"/>
                <w:szCs w:val="21"/>
              </w:rPr>
            </w:pPr>
            <w:r>
              <w:rPr>
                <w:rFonts w:eastAsia="宋体" w:cs="Times New Roman"/>
                <w:kern w:val="0"/>
                <w:szCs w:val="21"/>
                <w:lang w:bidi="ar"/>
              </w:rPr>
              <w:t>洛隆县夏果村、娘娘村、西湖村污水治理</w:t>
            </w:r>
          </w:p>
        </w:tc>
        <w:tc>
          <w:tcPr>
            <w:tcW w:w="239" w:type="pct"/>
            <w:shd w:val="clear" w:color="000000" w:fill="FFFFFF"/>
            <w:vAlign w:val="center"/>
          </w:tcPr>
          <w:p w14:paraId="4248545D">
            <w:pPr>
              <w:snapToGrid w:val="0"/>
              <w:jc w:val="center"/>
              <w:rPr>
                <w:rFonts w:eastAsia="宋体" w:cs="Times New Roman"/>
                <w:kern w:val="0"/>
                <w:szCs w:val="21"/>
              </w:rPr>
            </w:pPr>
            <w:r>
              <w:rPr>
                <w:rFonts w:eastAsia="宋体" w:cs="Times New Roman"/>
                <w:kern w:val="0"/>
                <w:sz w:val="20"/>
                <w:szCs w:val="20"/>
              </w:rPr>
              <w:t>新建</w:t>
            </w:r>
          </w:p>
        </w:tc>
        <w:tc>
          <w:tcPr>
            <w:tcW w:w="2288" w:type="pct"/>
            <w:shd w:val="clear" w:color="000000" w:fill="FFFFFF"/>
            <w:vAlign w:val="center"/>
          </w:tcPr>
          <w:p w14:paraId="6BD93FD6">
            <w:pPr>
              <w:jc w:val="center"/>
              <w:textAlignment w:val="center"/>
              <w:rPr>
                <w:rFonts w:eastAsia="宋体" w:cs="Times New Roman"/>
                <w:kern w:val="0"/>
                <w:szCs w:val="21"/>
              </w:rPr>
            </w:pPr>
            <w:r>
              <w:rPr>
                <w:rFonts w:eastAsia="宋体" w:cs="Times New Roman"/>
                <w:kern w:val="0"/>
                <w:szCs w:val="21"/>
                <w:lang w:bidi="ar"/>
              </w:rPr>
              <w:t>新建3个行政村污水处理站3座，配套管网各1㎞以及修复现有损坏管网，采用三格式化粪池预处理、人工湿地为主要处置模式。</w:t>
            </w:r>
          </w:p>
        </w:tc>
        <w:tc>
          <w:tcPr>
            <w:tcW w:w="506" w:type="pct"/>
            <w:vAlign w:val="center"/>
          </w:tcPr>
          <w:p w14:paraId="0872DC99">
            <w:pPr>
              <w:snapToGrid w:val="0"/>
              <w:jc w:val="center"/>
              <w:rPr>
                <w:rFonts w:eastAsia="宋体" w:cs="Times New Roman"/>
                <w:kern w:val="0"/>
                <w:szCs w:val="21"/>
              </w:rPr>
            </w:pPr>
            <w:r>
              <w:rPr>
                <w:rFonts w:eastAsia="宋体" w:cs="Times New Roman"/>
                <w:kern w:val="0"/>
                <w:szCs w:val="21"/>
              </w:rPr>
              <w:t>2023</w:t>
            </w:r>
          </w:p>
        </w:tc>
        <w:tc>
          <w:tcPr>
            <w:tcW w:w="506" w:type="pct"/>
            <w:vAlign w:val="center"/>
          </w:tcPr>
          <w:p w14:paraId="398583C4">
            <w:pPr>
              <w:jc w:val="center"/>
              <w:textAlignment w:val="center"/>
              <w:rPr>
                <w:rFonts w:eastAsia="宋体" w:cs="Times New Roman"/>
                <w:kern w:val="0"/>
                <w:szCs w:val="21"/>
              </w:rPr>
            </w:pPr>
            <w:r>
              <w:rPr>
                <w:rFonts w:eastAsia="宋体" w:cs="Times New Roman"/>
                <w:kern w:val="0"/>
                <w:szCs w:val="21"/>
                <w:lang w:bidi="ar"/>
              </w:rPr>
              <w:t>孜托镇、俄西乡</w:t>
            </w:r>
          </w:p>
        </w:tc>
        <w:tc>
          <w:tcPr>
            <w:tcW w:w="406" w:type="pct"/>
            <w:noWrap/>
            <w:vAlign w:val="center"/>
          </w:tcPr>
          <w:p w14:paraId="521CDA28">
            <w:pPr>
              <w:jc w:val="center"/>
              <w:textAlignment w:val="center"/>
              <w:rPr>
                <w:rFonts w:eastAsia="宋体" w:cs="Times New Roman"/>
                <w:kern w:val="0"/>
                <w:szCs w:val="21"/>
              </w:rPr>
            </w:pPr>
            <w:r>
              <w:rPr>
                <w:rFonts w:eastAsia="宋体" w:cs="Times New Roman"/>
                <w:kern w:val="0"/>
                <w:szCs w:val="21"/>
                <w:lang w:bidi="ar"/>
              </w:rPr>
              <w:t>600.00</w:t>
            </w:r>
          </w:p>
        </w:tc>
        <w:tc>
          <w:tcPr>
            <w:tcW w:w="395" w:type="pct"/>
            <w:vAlign w:val="center"/>
          </w:tcPr>
          <w:p w14:paraId="37EA1636">
            <w:pPr>
              <w:jc w:val="center"/>
              <w:rPr>
                <w:rFonts w:eastAsia="宋体" w:cs="Times New Roman"/>
                <w:kern w:val="0"/>
                <w:szCs w:val="21"/>
              </w:rPr>
            </w:pPr>
            <w:r>
              <w:rPr>
                <w:rFonts w:eastAsia="宋体" w:cs="Times New Roman"/>
                <w:szCs w:val="21"/>
              </w:rPr>
              <w:t>县生态环境局</w:t>
            </w:r>
          </w:p>
        </w:tc>
      </w:tr>
      <w:tr w14:paraId="3692A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 w:type="pct"/>
            <w:gridSpan w:val="2"/>
            <w:shd w:val="clear" w:color="auto" w:fill="auto"/>
            <w:vAlign w:val="center"/>
          </w:tcPr>
          <w:p w14:paraId="2D952F31">
            <w:pPr>
              <w:jc w:val="center"/>
              <w:rPr>
                <w:rFonts w:eastAsia="宋体" w:cs="Times New Roman"/>
                <w:kern w:val="0"/>
                <w:szCs w:val="21"/>
              </w:rPr>
            </w:pPr>
            <w:r>
              <w:rPr>
                <w:rFonts w:hint="eastAsia" w:eastAsia="宋体" w:cs="Times New Roman"/>
                <w:kern w:val="0"/>
                <w:szCs w:val="21"/>
              </w:rPr>
              <w:t>11</w:t>
            </w:r>
          </w:p>
        </w:tc>
        <w:tc>
          <w:tcPr>
            <w:tcW w:w="466" w:type="pct"/>
            <w:shd w:val="clear" w:color="auto" w:fill="auto"/>
            <w:vAlign w:val="center"/>
          </w:tcPr>
          <w:p w14:paraId="4F40277E">
            <w:pPr>
              <w:jc w:val="center"/>
              <w:textAlignment w:val="center"/>
              <w:rPr>
                <w:rFonts w:eastAsia="宋体" w:cs="Times New Roman"/>
                <w:kern w:val="0"/>
                <w:szCs w:val="21"/>
              </w:rPr>
            </w:pPr>
            <w:r>
              <w:rPr>
                <w:rFonts w:eastAsia="宋体" w:cs="Times New Roman"/>
                <w:kern w:val="0"/>
                <w:szCs w:val="21"/>
                <w:lang w:bidi="ar"/>
              </w:rPr>
              <w:t>怒江嘉玉桥断面在线监测</w:t>
            </w:r>
          </w:p>
        </w:tc>
        <w:tc>
          <w:tcPr>
            <w:tcW w:w="239" w:type="pct"/>
            <w:shd w:val="clear" w:color="000000" w:fill="FFFFFF"/>
            <w:vAlign w:val="center"/>
          </w:tcPr>
          <w:p w14:paraId="6B37EB8E">
            <w:pPr>
              <w:snapToGrid w:val="0"/>
              <w:jc w:val="center"/>
              <w:rPr>
                <w:rFonts w:eastAsia="宋体" w:cs="Times New Roman"/>
                <w:kern w:val="0"/>
                <w:szCs w:val="21"/>
              </w:rPr>
            </w:pPr>
            <w:r>
              <w:rPr>
                <w:rFonts w:eastAsia="宋体" w:cs="Times New Roman"/>
                <w:kern w:val="0"/>
                <w:sz w:val="20"/>
                <w:szCs w:val="20"/>
              </w:rPr>
              <w:t>新建</w:t>
            </w:r>
          </w:p>
        </w:tc>
        <w:tc>
          <w:tcPr>
            <w:tcW w:w="2288" w:type="pct"/>
            <w:shd w:val="clear" w:color="000000" w:fill="FFFFFF"/>
            <w:vAlign w:val="center"/>
          </w:tcPr>
          <w:p w14:paraId="5B549E2C">
            <w:pPr>
              <w:jc w:val="center"/>
              <w:textAlignment w:val="center"/>
              <w:rPr>
                <w:rFonts w:eastAsia="宋体" w:cs="Times New Roman"/>
                <w:kern w:val="0"/>
                <w:szCs w:val="21"/>
              </w:rPr>
            </w:pPr>
            <w:r>
              <w:rPr>
                <w:rFonts w:eastAsia="宋体" w:cs="Times New Roman"/>
                <w:kern w:val="0"/>
                <w:szCs w:val="21"/>
                <w:lang w:bidi="ar"/>
              </w:rPr>
              <w:t>新建怒江嘉玉桥断面监测站一座以及配套监测设备</w:t>
            </w:r>
          </w:p>
        </w:tc>
        <w:tc>
          <w:tcPr>
            <w:tcW w:w="506" w:type="pct"/>
            <w:vAlign w:val="center"/>
          </w:tcPr>
          <w:p w14:paraId="5844D3ED">
            <w:pPr>
              <w:snapToGrid w:val="0"/>
              <w:jc w:val="center"/>
              <w:rPr>
                <w:rFonts w:eastAsia="宋体" w:cs="Times New Roman"/>
                <w:kern w:val="0"/>
                <w:szCs w:val="21"/>
              </w:rPr>
            </w:pPr>
            <w:r>
              <w:rPr>
                <w:rFonts w:eastAsia="宋体" w:cs="Times New Roman"/>
                <w:kern w:val="0"/>
                <w:szCs w:val="21"/>
              </w:rPr>
              <w:t>2023</w:t>
            </w:r>
          </w:p>
        </w:tc>
        <w:tc>
          <w:tcPr>
            <w:tcW w:w="506" w:type="pct"/>
            <w:vAlign w:val="center"/>
          </w:tcPr>
          <w:p w14:paraId="6383120C">
            <w:pPr>
              <w:jc w:val="center"/>
              <w:textAlignment w:val="center"/>
              <w:rPr>
                <w:rFonts w:eastAsia="宋体" w:cs="Times New Roman"/>
                <w:kern w:val="0"/>
                <w:szCs w:val="21"/>
              </w:rPr>
            </w:pPr>
            <w:r>
              <w:rPr>
                <w:rFonts w:eastAsia="宋体" w:cs="Times New Roman"/>
                <w:kern w:val="0"/>
                <w:szCs w:val="21"/>
                <w:lang w:bidi="ar"/>
              </w:rPr>
              <w:t>马利镇</w:t>
            </w:r>
          </w:p>
        </w:tc>
        <w:tc>
          <w:tcPr>
            <w:tcW w:w="406" w:type="pct"/>
            <w:noWrap/>
            <w:vAlign w:val="center"/>
          </w:tcPr>
          <w:p w14:paraId="3658463A">
            <w:pPr>
              <w:jc w:val="center"/>
              <w:textAlignment w:val="center"/>
              <w:rPr>
                <w:rFonts w:eastAsia="宋体" w:cs="Times New Roman"/>
                <w:kern w:val="0"/>
                <w:szCs w:val="21"/>
              </w:rPr>
            </w:pPr>
            <w:r>
              <w:rPr>
                <w:rFonts w:eastAsia="宋体" w:cs="Times New Roman"/>
                <w:kern w:val="0"/>
                <w:szCs w:val="21"/>
                <w:lang w:bidi="ar"/>
              </w:rPr>
              <w:t>500.00</w:t>
            </w:r>
          </w:p>
        </w:tc>
        <w:tc>
          <w:tcPr>
            <w:tcW w:w="395" w:type="pct"/>
            <w:vAlign w:val="center"/>
          </w:tcPr>
          <w:p w14:paraId="738B002D">
            <w:pPr>
              <w:jc w:val="center"/>
              <w:rPr>
                <w:rFonts w:eastAsia="宋体" w:cs="Times New Roman"/>
                <w:kern w:val="0"/>
                <w:szCs w:val="21"/>
              </w:rPr>
            </w:pPr>
            <w:r>
              <w:rPr>
                <w:rFonts w:eastAsia="宋体" w:cs="Times New Roman"/>
                <w:szCs w:val="21"/>
              </w:rPr>
              <w:t>县生态环境局</w:t>
            </w:r>
          </w:p>
        </w:tc>
      </w:tr>
      <w:tr w14:paraId="3F786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 w:type="pct"/>
            <w:gridSpan w:val="2"/>
            <w:shd w:val="clear" w:color="auto" w:fill="auto"/>
            <w:vAlign w:val="center"/>
          </w:tcPr>
          <w:p w14:paraId="333B2049">
            <w:pPr>
              <w:jc w:val="center"/>
              <w:rPr>
                <w:rFonts w:eastAsia="宋体" w:cs="Times New Roman"/>
                <w:kern w:val="0"/>
                <w:szCs w:val="21"/>
              </w:rPr>
            </w:pPr>
            <w:r>
              <w:rPr>
                <w:rFonts w:hint="eastAsia" w:eastAsia="宋体" w:cs="Times New Roman"/>
                <w:kern w:val="0"/>
                <w:szCs w:val="21"/>
              </w:rPr>
              <w:t>12</w:t>
            </w:r>
          </w:p>
        </w:tc>
        <w:tc>
          <w:tcPr>
            <w:tcW w:w="466" w:type="pct"/>
            <w:shd w:val="clear" w:color="auto" w:fill="auto"/>
            <w:vAlign w:val="center"/>
          </w:tcPr>
          <w:p w14:paraId="7E5263B0">
            <w:pPr>
              <w:jc w:val="center"/>
              <w:textAlignment w:val="center"/>
              <w:rPr>
                <w:rFonts w:eastAsia="宋体" w:cs="Times New Roman"/>
                <w:kern w:val="0"/>
                <w:szCs w:val="21"/>
              </w:rPr>
            </w:pPr>
            <w:r>
              <w:rPr>
                <w:rFonts w:eastAsia="宋体" w:cs="Times New Roman"/>
                <w:kern w:val="0"/>
                <w:szCs w:val="21"/>
                <w:lang w:bidi="ar"/>
              </w:rPr>
              <w:t>洛隆县无害化焚烧项目</w:t>
            </w:r>
          </w:p>
        </w:tc>
        <w:tc>
          <w:tcPr>
            <w:tcW w:w="239" w:type="pct"/>
            <w:shd w:val="clear" w:color="000000" w:fill="FFFFFF"/>
            <w:vAlign w:val="center"/>
          </w:tcPr>
          <w:p w14:paraId="39C7489B">
            <w:pPr>
              <w:snapToGrid w:val="0"/>
              <w:jc w:val="center"/>
              <w:rPr>
                <w:rFonts w:eastAsia="宋体" w:cs="Times New Roman"/>
                <w:kern w:val="0"/>
                <w:szCs w:val="21"/>
              </w:rPr>
            </w:pPr>
            <w:r>
              <w:rPr>
                <w:rFonts w:eastAsia="宋体" w:cs="Times New Roman"/>
                <w:kern w:val="0"/>
                <w:sz w:val="20"/>
                <w:szCs w:val="20"/>
              </w:rPr>
              <w:t>新建</w:t>
            </w:r>
          </w:p>
        </w:tc>
        <w:tc>
          <w:tcPr>
            <w:tcW w:w="2288" w:type="pct"/>
            <w:shd w:val="clear" w:color="000000" w:fill="FFFFFF"/>
            <w:vAlign w:val="center"/>
          </w:tcPr>
          <w:p w14:paraId="2D392AEA">
            <w:pPr>
              <w:jc w:val="center"/>
              <w:textAlignment w:val="center"/>
              <w:rPr>
                <w:rFonts w:eastAsia="宋体" w:cs="Times New Roman"/>
                <w:kern w:val="0"/>
                <w:szCs w:val="21"/>
              </w:rPr>
            </w:pPr>
            <w:r>
              <w:rPr>
                <w:rFonts w:eastAsia="宋体" w:cs="Times New Roman"/>
                <w:kern w:val="0"/>
                <w:szCs w:val="21"/>
                <w:lang w:bidi="ar"/>
              </w:rPr>
              <w:t>县城垃圾填埋场新建垃圾焚烧站一座及焚烧设备、附属</w:t>
            </w:r>
          </w:p>
        </w:tc>
        <w:tc>
          <w:tcPr>
            <w:tcW w:w="506" w:type="pct"/>
            <w:vAlign w:val="center"/>
          </w:tcPr>
          <w:p w14:paraId="05302D3A">
            <w:pPr>
              <w:snapToGrid w:val="0"/>
              <w:jc w:val="center"/>
              <w:rPr>
                <w:rFonts w:eastAsia="宋体" w:cs="Times New Roman"/>
                <w:kern w:val="0"/>
                <w:szCs w:val="21"/>
              </w:rPr>
            </w:pPr>
            <w:r>
              <w:rPr>
                <w:rFonts w:eastAsia="宋体" w:cs="Times New Roman"/>
                <w:kern w:val="0"/>
                <w:szCs w:val="21"/>
              </w:rPr>
              <w:t>2024</w:t>
            </w:r>
          </w:p>
        </w:tc>
        <w:tc>
          <w:tcPr>
            <w:tcW w:w="506" w:type="pct"/>
            <w:vAlign w:val="center"/>
          </w:tcPr>
          <w:p w14:paraId="2443B1DC">
            <w:pPr>
              <w:jc w:val="center"/>
              <w:textAlignment w:val="center"/>
              <w:rPr>
                <w:rFonts w:eastAsia="宋体" w:cs="Times New Roman"/>
                <w:kern w:val="0"/>
                <w:szCs w:val="21"/>
              </w:rPr>
            </w:pPr>
            <w:r>
              <w:rPr>
                <w:rFonts w:eastAsia="宋体" w:cs="Times New Roman"/>
                <w:kern w:val="0"/>
                <w:szCs w:val="21"/>
                <w:lang w:bidi="ar"/>
              </w:rPr>
              <w:t>孜托镇</w:t>
            </w:r>
          </w:p>
        </w:tc>
        <w:tc>
          <w:tcPr>
            <w:tcW w:w="406" w:type="pct"/>
            <w:noWrap/>
            <w:vAlign w:val="center"/>
          </w:tcPr>
          <w:p w14:paraId="540B09B5">
            <w:pPr>
              <w:jc w:val="center"/>
              <w:textAlignment w:val="center"/>
              <w:rPr>
                <w:rFonts w:eastAsia="宋体" w:cs="Times New Roman"/>
                <w:kern w:val="0"/>
                <w:szCs w:val="21"/>
              </w:rPr>
            </w:pPr>
            <w:r>
              <w:rPr>
                <w:rFonts w:eastAsia="宋体" w:cs="Times New Roman"/>
                <w:kern w:val="0"/>
                <w:szCs w:val="21"/>
                <w:lang w:bidi="ar"/>
              </w:rPr>
              <w:t>1500.00</w:t>
            </w:r>
          </w:p>
        </w:tc>
        <w:tc>
          <w:tcPr>
            <w:tcW w:w="395" w:type="pct"/>
            <w:vAlign w:val="center"/>
          </w:tcPr>
          <w:p w14:paraId="468034DA">
            <w:pPr>
              <w:jc w:val="center"/>
              <w:rPr>
                <w:rFonts w:eastAsia="宋体" w:cs="Times New Roman"/>
                <w:kern w:val="0"/>
                <w:szCs w:val="21"/>
              </w:rPr>
            </w:pPr>
            <w:r>
              <w:rPr>
                <w:rFonts w:eastAsia="宋体" w:cs="Times New Roman"/>
                <w:szCs w:val="21"/>
              </w:rPr>
              <w:t>县生态环境局</w:t>
            </w:r>
          </w:p>
        </w:tc>
      </w:tr>
      <w:tr w14:paraId="353A4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 w:type="pct"/>
            <w:gridSpan w:val="2"/>
            <w:shd w:val="clear" w:color="auto" w:fill="auto"/>
            <w:vAlign w:val="center"/>
          </w:tcPr>
          <w:p w14:paraId="0A62246F">
            <w:pPr>
              <w:jc w:val="center"/>
              <w:rPr>
                <w:rFonts w:eastAsia="宋体" w:cs="Times New Roman"/>
                <w:kern w:val="0"/>
                <w:szCs w:val="21"/>
              </w:rPr>
            </w:pPr>
            <w:r>
              <w:rPr>
                <w:rFonts w:hint="eastAsia" w:eastAsia="宋体" w:cs="Times New Roman"/>
                <w:kern w:val="0"/>
                <w:szCs w:val="21"/>
              </w:rPr>
              <w:t>13</w:t>
            </w:r>
          </w:p>
        </w:tc>
        <w:tc>
          <w:tcPr>
            <w:tcW w:w="466" w:type="pct"/>
            <w:shd w:val="clear" w:color="auto" w:fill="auto"/>
            <w:vAlign w:val="center"/>
          </w:tcPr>
          <w:p w14:paraId="721C7A35">
            <w:pPr>
              <w:jc w:val="center"/>
              <w:textAlignment w:val="center"/>
              <w:rPr>
                <w:rFonts w:eastAsia="宋体" w:cs="Times New Roman"/>
                <w:kern w:val="0"/>
                <w:szCs w:val="21"/>
              </w:rPr>
            </w:pPr>
            <w:r>
              <w:rPr>
                <w:rFonts w:eastAsia="宋体" w:cs="Times New Roman"/>
                <w:kern w:val="0"/>
                <w:szCs w:val="21"/>
                <w:lang w:bidi="ar"/>
              </w:rPr>
              <w:t>10个乡镇自动化监测</w:t>
            </w:r>
          </w:p>
        </w:tc>
        <w:tc>
          <w:tcPr>
            <w:tcW w:w="239" w:type="pct"/>
            <w:shd w:val="clear" w:color="000000" w:fill="FFFFFF"/>
            <w:vAlign w:val="center"/>
          </w:tcPr>
          <w:p w14:paraId="498932D2">
            <w:pPr>
              <w:snapToGrid w:val="0"/>
              <w:jc w:val="center"/>
              <w:rPr>
                <w:rFonts w:eastAsia="宋体" w:cs="Times New Roman"/>
                <w:kern w:val="0"/>
                <w:szCs w:val="21"/>
              </w:rPr>
            </w:pPr>
            <w:r>
              <w:rPr>
                <w:rFonts w:eastAsia="宋体" w:cs="Times New Roman"/>
                <w:kern w:val="0"/>
                <w:sz w:val="20"/>
                <w:szCs w:val="20"/>
              </w:rPr>
              <w:t>新建</w:t>
            </w:r>
          </w:p>
        </w:tc>
        <w:tc>
          <w:tcPr>
            <w:tcW w:w="2288" w:type="pct"/>
            <w:shd w:val="clear" w:color="000000" w:fill="FFFFFF"/>
            <w:vAlign w:val="center"/>
          </w:tcPr>
          <w:p w14:paraId="2F6F8DF6">
            <w:pPr>
              <w:jc w:val="center"/>
              <w:textAlignment w:val="center"/>
              <w:rPr>
                <w:rFonts w:eastAsia="宋体" w:cs="Times New Roman"/>
                <w:kern w:val="0"/>
                <w:szCs w:val="21"/>
              </w:rPr>
            </w:pPr>
            <w:r>
              <w:rPr>
                <w:rFonts w:eastAsia="宋体" w:cs="Times New Roman"/>
                <w:kern w:val="0"/>
                <w:szCs w:val="21"/>
                <w:lang w:bidi="ar"/>
              </w:rPr>
              <w:t>每个监测200平方米、采购自动监测设备及附属设施</w:t>
            </w:r>
          </w:p>
        </w:tc>
        <w:tc>
          <w:tcPr>
            <w:tcW w:w="506" w:type="pct"/>
            <w:vAlign w:val="center"/>
          </w:tcPr>
          <w:p w14:paraId="65A5F0E1">
            <w:pPr>
              <w:snapToGrid w:val="0"/>
              <w:jc w:val="center"/>
              <w:rPr>
                <w:rFonts w:eastAsia="宋体" w:cs="Times New Roman"/>
                <w:kern w:val="0"/>
                <w:szCs w:val="21"/>
              </w:rPr>
            </w:pPr>
            <w:r>
              <w:rPr>
                <w:rFonts w:eastAsia="宋体" w:cs="Times New Roman"/>
                <w:kern w:val="0"/>
                <w:szCs w:val="21"/>
              </w:rPr>
              <w:t>2025</w:t>
            </w:r>
          </w:p>
        </w:tc>
        <w:tc>
          <w:tcPr>
            <w:tcW w:w="506" w:type="pct"/>
            <w:vAlign w:val="center"/>
          </w:tcPr>
          <w:p w14:paraId="2A16D1C3">
            <w:pPr>
              <w:jc w:val="center"/>
              <w:textAlignment w:val="center"/>
              <w:rPr>
                <w:rFonts w:eastAsia="宋体" w:cs="Times New Roman"/>
                <w:kern w:val="0"/>
                <w:szCs w:val="21"/>
              </w:rPr>
            </w:pPr>
            <w:r>
              <w:rPr>
                <w:rFonts w:eastAsia="宋体" w:cs="Times New Roman"/>
                <w:kern w:val="0"/>
                <w:szCs w:val="21"/>
                <w:lang w:bidi="ar"/>
              </w:rPr>
              <w:t>10个乡镇</w:t>
            </w:r>
          </w:p>
        </w:tc>
        <w:tc>
          <w:tcPr>
            <w:tcW w:w="406" w:type="pct"/>
            <w:noWrap/>
            <w:vAlign w:val="center"/>
          </w:tcPr>
          <w:p w14:paraId="487A0081">
            <w:pPr>
              <w:jc w:val="center"/>
              <w:textAlignment w:val="center"/>
              <w:rPr>
                <w:rFonts w:eastAsia="宋体" w:cs="Times New Roman"/>
                <w:kern w:val="0"/>
                <w:szCs w:val="21"/>
              </w:rPr>
            </w:pPr>
            <w:r>
              <w:rPr>
                <w:rFonts w:eastAsia="宋体" w:cs="Times New Roman"/>
                <w:kern w:val="0"/>
                <w:szCs w:val="21"/>
                <w:lang w:bidi="ar"/>
              </w:rPr>
              <w:t>2200</w:t>
            </w:r>
          </w:p>
        </w:tc>
        <w:tc>
          <w:tcPr>
            <w:tcW w:w="395" w:type="pct"/>
            <w:vAlign w:val="center"/>
          </w:tcPr>
          <w:p w14:paraId="0B722677">
            <w:pPr>
              <w:jc w:val="center"/>
              <w:rPr>
                <w:rFonts w:eastAsia="宋体" w:cs="Times New Roman"/>
                <w:kern w:val="0"/>
                <w:szCs w:val="21"/>
              </w:rPr>
            </w:pPr>
            <w:r>
              <w:rPr>
                <w:rFonts w:eastAsia="宋体" w:cs="Times New Roman"/>
                <w:szCs w:val="21"/>
              </w:rPr>
              <w:t>县生态环境局</w:t>
            </w:r>
          </w:p>
        </w:tc>
      </w:tr>
      <w:tr w14:paraId="35C1A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 w:type="pct"/>
            <w:gridSpan w:val="2"/>
            <w:shd w:val="clear" w:color="auto" w:fill="auto"/>
            <w:vAlign w:val="center"/>
          </w:tcPr>
          <w:p w14:paraId="19009C3B">
            <w:pPr>
              <w:jc w:val="center"/>
              <w:rPr>
                <w:rFonts w:eastAsia="宋体" w:cs="Times New Roman"/>
                <w:kern w:val="0"/>
                <w:szCs w:val="21"/>
              </w:rPr>
            </w:pPr>
            <w:r>
              <w:rPr>
                <w:rFonts w:hint="eastAsia" w:eastAsia="宋体" w:cs="Times New Roman"/>
                <w:kern w:val="0"/>
                <w:szCs w:val="21"/>
              </w:rPr>
              <w:t>14</w:t>
            </w:r>
          </w:p>
        </w:tc>
        <w:tc>
          <w:tcPr>
            <w:tcW w:w="466" w:type="pct"/>
            <w:shd w:val="clear" w:color="auto" w:fill="auto"/>
            <w:vAlign w:val="center"/>
          </w:tcPr>
          <w:p w14:paraId="47764ED0">
            <w:pPr>
              <w:jc w:val="center"/>
              <w:textAlignment w:val="center"/>
              <w:rPr>
                <w:rFonts w:eastAsia="宋体" w:cs="Times New Roman"/>
                <w:kern w:val="0"/>
                <w:szCs w:val="21"/>
              </w:rPr>
            </w:pPr>
            <w:r>
              <w:rPr>
                <w:rFonts w:eastAsia="宋体" w:cs="Times New Roman"/>
                <w:kern w:val="0"/>
                <w:szCs w:val="21"/>
                <w:lang w:bidi="ar"/>
              </w:rPr>
              <w:t>洛隆县康沙镇、孜托镇5个点位生态修复项目</w:t>
            </w:r>
          </w:p>
        </w:tc>
        <w:tc>
          <w:tcPr>
            <w:tcW w:w="239" w:type="pct"/>
            <w:shd w:val="clear" w:color="000000" w:fill="FFFFFF"/>
            <w:vAlign w:val="center"/>
          </w:tcPr>
          <w:p w14:paraId="20BA5110">
            <w:pPr>
              <w:snapToGrid w:val="0"/>
              <w:jc w:val="center"/>
              <w:rPr>
                <w:rFonts w:eastAsia="宋体" w:cs="Times New Roman"/>
                <w:kern w:val="0"/>
                <w:szCs w:val="21"/>
              </w:rPr>
            </w:pPr>
            <w:r>
              <w:rPr>
                <w:rFonts w:eastAsia="宋体" w:cs="Times New Roman"/>
                <w:kern w:val="0"/>
                <w:sz w:val="20"/>
                <w:szCs w:val="20"/>
              </w:rPr>
              <w:t>新建</w:t>
            </w:r>
          </w:p>
        </w:tc>
        <w:tc>
          <w:tcPr>
            <w:tcW w:w="2288" w:type="pct"/>
            <w:shd w:val="clear" w:color="000000" w:fill="FFFFFF"/>
            <w:vAlign w:val="center"/>
          </w:tcPr>
          <w:p w14:paraId="26C4A1F0">
            <w:pPr>
              <w:jc w:val="center"/>
              <w:textAlignment w:val="center"/>
              <w:rPr>
                <w:rFonts w:eastAsia="宋体" w:cs="Times New Roman"/>
                <w:kern w:val="0"/>
                <w:szCs w:val="21"/>
                <w:lang w:bidi="ar"/>
              </w:rPr>
            </w:pPr>
            <w:r>
              <w:rPr>
                <w:rFonts w:eastAsia="宋体" w:cs="Times New Roman"/>
                <w:kern w:val="0"/>
                <w:szCs w:val="21"/>
                <w:lang w:bidi="ar"/>
              </w:rPr>
              <w:t>修建挡土墙稳固边坡，保障国道通行车辆及人员的安全；实施造林措施，恢复已经荒漠化、沙化的草场的植被覆盖率；对生态恢复的工程区域进行封育，减少过度放养带来的草场退化及其造成的生态破坏；合理安排放牧，促使牲畜与草场处于一个平衡的生态关系，营造一个美丽的环境。</w:t>
            </w:r>
          </w:p>
          <w:p w14:paraId="608546D5">
            <w:pPr>
              <w:jc w:val="center"/>
              <w:textAlignment w:val="center"/>
              <w:rPr>
                <w:rFonts w:eastAsia="宋体" w:cs="Times New Roman"/>
                <w:kern w:val="0"/>
                <w:szCs w:val="21"/>
              </w:rPr>
            </w:pPr>
            <w:r>
              <w:rPr>
                <w:rFonts w:eastAsia="宋体" w:cs="Times New Roman"/>
                <w:kern w:val="0"/>
                <w:szCs w:val="21"/>
                <w:lang w:bidi="ar"/>
              </w:rPr>
              <w:t>主要工程量有：修建挡土墙合计153米，铅丝石笼网274米，生态恢复共计约48亩，双边丝围栏共约2260米，小型砖砌宣传牌5座，大型广告宣传牌2座，垃圾转运车2辆。</w:t>
            </w:r>
          </w:p>
        </w:tc>
        <w:tc>
          <w:tcPr>
            <w:tcW w:w="506" w:type="pct"/>
            <w:vAlign w:val="center"/>
          </w:tcPr>
          <w:p w14:paraId="73FB40A1">
            <w:pPr>
              <w:snapToGrid w:val="0"/>
              <w:jc w:val="center"/>
              <w:rPr>
                <w:rFonts w:eastAsia="宋体" w:cs="Times New Roman"/>
                <w:kern w:val="0"/>
                <w:szCs w:val="21"/>
              </w:rPr>
            </w:pPr>
            <w:r>
              <w:rPr>
                <w:rFonts w:eastAsia="宋体" w:cs="Times New Roman"/>
                <w:kern w:val="0"/>
                <w:szCs w:val="21"/>
              </w:rPr>
              <w:t>2023</w:t>
            </w:r>
          </w:p>
        </w:tc>
        <w:tc>
          <w:tcPr>
            <w:tcW w:w="506" w:type="pct"/>
            <w:vAlign w:val="center"/>
          </w:tcPr>
          <w:p w14:paraId="08EB45DF">
            <w:pPr>
              <w:jc w:val="center"/>
              <w:textAlignment w:val="center"/>
              <w:rPr>
                <w:rFonts w:eastAsia="宋体" w:cs="Times New Roman"/>
                <w:kern w:val="0"/>
                <w:szCs w:val="21"/>
              </w:rPr>
            </w:pPr>
            <w:r>
              <w:rPr>
                <w:rFonts w:eastAsia="宋体" w:cs="Times New Roman"/>
                <w:kern w:val="0"/>
                <w:szCs w:val="21"/>
                <w:lang w:bidi="ar"/>
              </w:rPr>
              <w:t>康沙镇</w:t>
            </w:r>
          </w:p>
        </w:tc>
        <w:tc>
          <w:tcPr>
            <w:tcW w:w="406" w:type="pct"/>
            <w:noWrap/>
            <w:vAlign w:val="center"/>
          </w:tcPr>
          <w:p w14:paraId="44E42659">
            <w:pPr>
              <w:jc w:val="center"/>
              <w:textAlignment w:val="center"/>
              <w:rPr>
                <w:rFonts w:eastAsia="宋体" w:cs="Times New Roman"/>
                <w:kern w:val="0"/>
                <w:szCs w:val="21"/>
              </w:rPr>
            </w:pPr>
            <w:r>
              <w:rPr>
                <w:rFonts w:eastAsia="宋体" w:cs="Times New Roman"/>
                <w:kern w:val="0"/>
                <w:szCs w:val="21"/>
                <w:lang w:bidi="ar"/>
              </w:rPr>
              <w:t>654</w:t>
            </w:r>
          </w:p>
        </w:tc>
        <w:tc>
          <w:tcPr>
            <w:tcW w:w="395" w:type="pct"/>
            <w:vAlign w:val="center"/>
          </w:tcPr>
          <w:p w14:paraId="7F9FEFDB">
            <w:pPr>
              <w:jc w:val="center"/>
              <w:rPr>
                <w:rFonts w:eastAsia="宋体" w:cs="Times New Roman"/>
                <w:kern w:val="0"/>
                <w:szCs w:val="21"/>
              </w:rPr>
            </w:pPr>
            <w:r>
              <w:rPr>
                <w:rFonts w:eastAsia="宋体" w:cs="Times New Roman"/>
                <w:szCs w:val="21"/>
              </w:rPr>
              <w:t>县生态环境局</w:t>
            </w:r>
          </w:p>
        </w:tc>
      </w:tr>
      <w:tr w14:paraId="01607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 w:type="pct"/>
            <w:gridSpan w:val="2"/>
            <w:shd w:val="clear" w:color="auto" w:fill="auto"/>
            <w:vAlign w:val="center"/>
          </w:tcPr>
          <w:p w14:paraId="61649861">
            <w:pPr>
              <w:jc w:val="center"/>
              <w:rPr>
                <w:rFonts w:eastAsia="宋体" w:cs="Times New Roman"/>
                <w:kern w:val="0"/>
                <w:szCs w:val="21"/>
              </w:rPr>
            </w:pPr>
            <w:r>
              <w:rPr>
                <w:rFonts w:hint="eastAsia" w:eastAsia="宋体" w:cs="Times New Roman"/>
                <w:kern w:val="0"/>
                <w:szCs w:val="21"/>
              </w:rPr>
              <w:t>15</w:t>
            </w:r>
          </w:p>
        </w:tc>
        <w:tc>
          <w:tcPr>
            <w:tcW w:w="466" w:type="pct"/>
            <w:shd w:val="clear" w:color="auto" w:fill="auto"/>
            <w:vAlign w:val="center"/>
          </w:tcPr>
          <w:p w14:paraId="6B369B99">
            <w:pPr>
              <w:jc w:val="center"/>
              <w:textAlignment w:val="center"/>
              <w:rPr>
                <w:rFonts w:eastAsia="宋体" w:cs="Times New Roman"/>
                <w:kern w:val="0"/>
                <w:szCs w:val="21"/>
              </w:rPr>
            </w:pPr>
            <w:r>
              <w:rPr>
                <w:rFonts w:eastAsia="宋体" w:cs="Times New Roman"/>
                <w:kern w:val="0"/>
                <w:szCs w:val="21"/>
                <w:lang w:bidi="ar"/>
              </w:rPr>
              <w:t>机动车污染治理项</w:t>
            </w:r>
          </w:p>
        </w:tc>
        <w:tc>
          <w:tcPr>
            <w:tcW w:w="239" w:type="pct"/>
            <w:shd w:val="clear" w:color="000000" w:fill="FFFFFF"/>
            <w:vAlign w:val="center"/>
          </w:tcPr>
          <w:p w14:paraId="28FC3F09">
            <w:pPr>
              <w:snapToGrid w:val="0"/>
              <w:jc w:val="center"/>
              <w:rPr>
                <w:rFonts w:eastAsia="宋体" w:cs="Times New Roman"/>
                <w:kern w:val="0"/>
                <w:szCs w:val="21"/>
              </w:rPr>
            </w:pPr>
            <w:r>
              <w:rPr>
                <w:rFonts w:eastAsia="宋体" w:cs="Times New Roman"/>
                <w:kern w:val="0"/>
                <w:sz w:val="20"/>
                <w:szCs w:val="20"/>
              </w:rPr>
              <w:t>新建</w:t>
            </w:r>
          </w:p>
        </w:tc>
        <w:tc>
          <w:tcPr>
            <w:tcW w:w="2288" w:type="pct"/>
            <w:shd w:val="clear" w:color="000000" w:fill="FFFFFF"/>
            <w:vAlign w:val="center"/>
          </w:tcPr>
          <w:p w14:paraId="700AF8E2">
            <w:pPr>
              <w:jc w:val="center"/>
              <w:textAlignment w:val="center"/>
              <w:rPr>
                <w:rFonts w:eastAsia="宋体" w:cs="Times New Roman"/>
                <w:kern w:val="0"/>
                <w:szCs w:val="21"/>
              </w:rPr>
            </w:pPr>
            <w:r>
              <w:rPr>
                <w:rFonts w:eastAsia="宋体" w:cs="Times New Roman"/>
                <w:kern w:val="0"/>
                <w:szCs w:val="21"/>
                <w:lang w:bidi="ar"/>
              </w:rPr>
              <w:t>在县城建立一个机动车尾气检测站，配套300平方米的业务用房及检测设备，新建机动车环保检测线，实现每天机动车检测50辆。</w:t>
            </w:r>
          </w:p>
        </w:tc>
        <w:tc>
          <w:tcPr>
            <w:tcW w:w="506" w:type="pct"/>
            <w:vAlign w:val="center"/>
          </w:tcPr>
          <w:p w14:paraId="6FFAF447">
            <w:pPr>
              <w:snapToGrid w:val="0"/>
              <w:jc w:val="center"/>
              <w:rPr>
                <w:rFonts w:eastAsia="宋体" w:cs="Times New Roman"/>
                <w:kern w:val="0"/>
                <w:szCs w:val="21"/>
              </w:rPr>
            </w:pPr>
            <w:r>
              <w:rPr>
                <w:rFonts w:eastAsia="宋体" w:cs="Times New Roman"/>
                <w:kern w:val="0"/>
                <w:szCs w:val="21"/>
              </w:rPr>
              <w:t>2024</w:t>
            </w:r>
          </w:p>
        </w:tc>
        <w:tc>
          <w:tcPr>
            <w:tcW w:w="506" w:type="pct"/>
            <w:vAlign w:val="center"/>
          </w:tcPr>
          <w:p w14:paraId="097A4381">
            <w:pPr>
              <w:jc w:val="center"/>
              <w:textAlignment w:val="center"/>
              <w:rPr>
                <w:rFonts w:eastAsia="宋体" w:cs="Times New Roman"/>
                <w:kern w:val="0"/>
                <w:szCs w:val="21"/>
              </w:rPr>
            </w:pPr>
            <w:r>
              <w:rPr>
                <w:rFonts w:eastAsia="宋体" w:cs="Times New Roman"/>
                <w:kern w:val="0"/>
                <w:szCs w:val="21"/>
                <w:lang w:bidi="ar"/>
              </w:rPr>
              <w:t>孜托镇</w:t>
            </w:r>
          </w:p>
        </w:tc>
        <w:tc>
          <w:tcPr>
            <w:tcW w:w="406" w:type="pct"/>
            <w:noWrap/>
            <w:vAlign w:val="center"/>
          </w:tcPr>
          <w:p w14:paraId="327C5B25">
            <w:pPr>
              <w:jc w:val="center"/>
              <w:textAlignment w:val="center"/>
              <w:rPr>
                <w:rFonts w:eastAsia="宋体" w:cs="Times New Roman"/>
                <w:kern w:val="0"/>
                <w:szCs w:val="21"/>
              </w:rPr>
            </w:pPr>
            <w:r>
              <w:rPr>
                <w:rFonts w:eastAsia="宋体" w:cs="Times New Roman"/>
                <w:kern w:val="0"/>
                <w:szCs w:val="21"/>
                <w:lang w:bidi="ar"/>
              </w:rPr>
              <w:t>500</w:t>
            </w:r>
          </w:p>
        </w:tc>
        <w:tc>
          <w:tcPr>
            <w:tcW w:w="395" w:type="pct"/>
            <w:vAlign w:val="center"/>
          </w:tcPr>
          <w:p w14:paraId="67C16584">
            <w:pPr>
              <w:jc w:val="center"/>
              <w:rPr>
                <w:rFonts w:eastAsia="宋体" w:cs="Times New Roman"/>
                <w:kern w:val="0"/>
                <w:szCs w:val="21"/>
              </w:rPr>
            </w:pPr>
            <w:r>
              <w:rPr>
                <w:rFonts w:eastAsia="宋体" w:cs="Times New Roman"/>
                <w:szCs w:val="21"/>
              </w:rPr>
              <w:t>县生态环境局</w:t>
            </w:r>
          </w:p>
        </w:tc>
      </w:tr>
      <w:tr w14:paraId="6A2C0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 w:type="pct"/>
            <w:gridSpan w:val="2"/>
            <w:shd w:val="clear" w:color="auto" w:fill="auto"/>
            <w:vAlign w:val="center"/>
          </w:tcPr>
          <w:p w14:paraId="6D1A84F1">
            <w:pPr>
              <w:jc w:val="center"/>
              <w:rPr>
                <w:rFonts w:eastAsia="宋体" w:cs="Times New Roman"/>
                <w:kern w:val="0"/>
                <w:szCs w:val="21"/>
              </w:rPr>
            </w:pPr>
            <w:r>
              <w:rPr>
                <w:rFonts w:hint="eastAsia" w:eastAsia="宋体" w:cs="Times New Roman"/>
                <w:kern w:val="0"/>
                <w:szCs w:val="21"/>
              </w:rPr>
              <w:t>16</w:t>
            </w:r>
          </w:p>
        </w:tc>
        <w:tc>
          <w:tcPr>
            <w:tcW w:w="466" w:type="pct"/>
            <w:shd w:val="clear" w:color="auto" w:fill="auto"/>
            <w:vAlign w:val="center"/>
          </w:tcPr>
          <w:p w14:paraId="2D6B0910">
            <w:pPr>
              <w:jc w:val="center"/>
              <w:rPr>
                <w:rFonts w:eastAsia="宋体" w:cs="Times New Roman"/>
                <w:kern w:val="0"/>
                <w:szCs w:val="21"/>
              </w:rPr>
            </w:pPr>
            <w:r>
              <w:rPr>
                <w:rFonts w:eastAsia="宋体" w:cs="Times New Roman"/>
                <w:kern w:val="0"/>
                <w:szCs w:val="21"/>
              </w:rPr>
              <w:t>昌都市洛隆县玉西乡防洪堤工程</w:t>
            </w:r>
          </w:p>
        </w:tc>
        <w:tc>
          <w:tcPr>
            <w:tcW w:w="239" w:type="pct"/>
            <w:shd w:val="clear" w:color="000000" w:fill="FFFFFF"/>
            <w:vAlign w:val="center"/>
          </w:tcPr>
          <w:p w14:paraId="7E478566">
            <w:pPr>
              <w:jc w:val="center"/>
              <w:rPr>
                <w:rFonts w:eastAsia="宋体" w:cs="Times New Roman"/>
                <w:kern w:val="0"/>
                <w:szCs w:val="21"/>
              </w:rPr>
            </w:pPr>
            <w:r>
              <w:rPr>
                <w:rFonts w:eastAsia="宋体" w:cs="Times New Roman"/>
                <w:kern w:val="0"/>
                <w:sz w:val="20"/>
                <w:szCs w:val="20"/>
              </w:rPr>
              <w:t>续建</w:t>
            </w:r>
          </w:p>
        </w:tc>
        <w:tc>
          <w:tcPr>
            <w:tcW w:w="2288" w:type="pct"/>
            <w:shd w:val="clear" w:color="000000" w:fill="FFFFFF"/>
            <w:vAlign w:val="center"/>
          </w:tcPr>
          <w:p w14:paraId="18D58B0D">
            <w:pPr>
              <w:jc w:val="center"/>
              <w:rPr>
                <w:rFonts w:eastAsia="宋体" w:cs="Times New Roman"/>
                <w:kern w:val="0"/>
                <w:szCs w:val="21"/>
              </w:rPr>
            </w:pPr>
            <w:r>
              <w:rPr>
                <w:rFonts w:eastAsia="宋体" w:cs="Times New Roman"/>
                <w:kern w:val="0"/>
                <w:szCs w:val="21"/>
              </w:rPr>
              <w:t>新建防洪堤总长3513.47m,新建下河梯步7处，排水涵洞4座，排水涵管4处，设计标准为20年一遇，保护450人的财产安全和保护耕地200亩。</w:t>
            </w:r>
          </w:p>
        </w:tc>
        <w:tc>
          <w:tcPr>
            <w:tcW w:w="506" w:type="pct"/>
            <w:vAlign w:val="center"/>
          </w:tcPr>
          <w:p w14:paraId="534421E7">
            <w:pPr>
              <w:jc w:val="center"/>
              <w:rPr>
                <w:rFonts w:eastAsia="宋体" w:cs="Times New Roman"/>
                <w:kern w:val="0"/>
                <w:szCs w:val="21"/>
                <w:highlight w:val="yellow"/>
              </w:rPr>
            </w:pPr>
            <w:r>
              <w:rPr>
                <w:rFonts w:eastAsia="宋体" w:cs="Times New Roman"/>
                <w:kern w:val="0"/>
                <w:szCs w:val="21"/>
              </w:rPr>
              <w:t>2022~2025</w:t>
            </w:r>
          </w:p>
        </w:tc>
        <w:tc>
          <w:tcPr>
            <w:tcW w:w="506" w:type="pct"/>
            <w:vAlign w:val="center"/>
          </w:tcPr>
          <w:p w14:paraId="77D56CE3">
            <w:pPr>
              <w:jc w:val="center"/>
              <w:textAlignment w:val="center"/>
              <w:rPr>
                <w:rFonts w:eastAsia="宋体" w:cs="Times New Roman"/>
                <w:kern w:val="0"/>
                <w:szCs w:val="21"/>
              </w:rPr>
            </w:pPr>
            <w:r>
              <w:rPr>
                <w:rFonts w:eastAsia="宋体" w:cs="Times New Roman"/>
                <w:kern w:val="0"/>
                <w:szCs w:val="21"/>
              </w:rPr>
              <w:t>玉西乡</w:t>
            </w:r>
          </w:p>
        </w:tc>
        <w:tc>
          <w:tcPr>
            <w:tcW w:w="406" w:type="pct"/>
            <w:noWrap/>
            <w:vAlign w:val="center"/>
          </w:tcPr>
          <w:p w14:paraId="51BF35BA">
            <w:pPr>
              <w:jc w:val="center"/>
              <w:rPr>
                <w:rFonts w:eastAsia="宋体" w:cs="Times New Roman"/>
                <w:kern w:val="0"/>
                <w:szCs w:val="21"/>
              </w:rPr>
            </w:pPr>
            <w:r>
              <w:rPr>
                <w:rFonts w:eastAsia="宋体" w:cs="Times New Roman"/>
                <w:kern w:val="0"/>
                <w:szCs w:val="21"/>
              </w:rPr>
              <w:t>1040</w:t>
            </w:r>
          </w:p>
        </w:tc>
        <w:tc>
          <w:tcPr>
            <w:tcW w:w="395" w:type="pct"/>
            <w:vAlign w:val="center"/>
          </w:tcPr>
          <w:p w14:paraId="2F7D04C0">
            <w:pPr>
              <w:jc w:val="center"/>
              <w:rPr>
                <w:rFonts w:eastAsia="宋体" w:cs="Times New Roman"/>
                <w:kern w:val="0"/>
                <w:szCs w:val="21"/>
              </w:rPr>
            </w:pPr>
            <w:r>
              <w:rPr>
                <w:rFonts w:eastAsia="宋体" w:cs="Times New Roman"/>
                <w:kern w:val="0"/>
                <w:szCs w:val="21"/>
              </w:rPr>
              <w:t>县水利局</w:t>
            </w:r>
          </w:p>
        </w:tc>
      </w:tr>
      <w:tr w14:paraId="0E4A5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 w:type="pct"/>
            <w:gridSpan w:val="2"/>
            <w:shd w:val="clear" w:color="auto" w:fill="auto"/>
            <w:vAlign w:val="center"/>
          </w:tcPr>
          <w:p w14:paraId="3720C33A">
            <w:pPr>
              <w:jc w:val="center"/>
              <w:rPr>
                <w:rFonts w:eastAsia="宋体" w:cs="Times New Roman"/>
                <w:kern w:val="0"/>
                <w:szCs w:val="21"/>
              </w:rPr>
            </w:pPr>
            <w:r>
              <w:rPr>
                <w:rFonts w:hint="eastAsia" w:eastAsia="宋体" w:cs="Times New Roman"/>
                <w:kern w:val="0"/>
                <w:szCs w:val="21"/>
              </w:rPr>
              <w:t>17</w:t>
            </w:r>
          </w:p>
        </w:tc>
        <w:tc>
          <w:tcPr>
            <w:tcW w:w="466" w:type="pct"/>
            <w:shd w:val="clear" w:color="auto" w:fill="auto"/>
            <w:vAlign w:val="center"/>
          </w:tcPr>
          <w:p w14:paraId="7EEE63A1">
            <w:pPr>
              <w:jc w:val="center"/>
              <w:rPr>
                <w:rFonts w:eastAsia="宋体" w:cs="Times New Roman"/>
                <w:kern w:val="0"/>
                <w:szCs w:val="21"/>
              </w:rPr>
            </w:pPr>
            <w:r>
              <w:rPr>
                <w:rFonts w:eastAsia="宋体" w:cs="Times New Roman"/>
                <w:kern w:val="0"/>
                <w:szCs w:val="21"/>
              </w:rPr>
              <w:t>昌都市洛隆县马曲拥马利镇布许沟防洪工程</w:t>
            </w:r>
          </w:p>
        </w:tc>
        <w:tc>
          <w:tcPr>
            <w:tcW w:w="239" w:type="pct"/>
            <w:shd w:val="clear" w:color="000000" w:fill="FFFFFF"/>
            <w:vAlign w:val="center"/>
          </w:tcPr>
          <w:p w14:paraId="1A711658">
            <w:pPr>
              <w:jc w:val="center"/>
              <w:rPr>
                <w:rFonts w:eastAsia="宋体" w:cs="Times New Roman"/>
                <w:kern w:val="0"/>
                <w:szCs w:val="21"/>
              </w:rPr>
            </w:pPr>
            <w:r>
              <w:rPr>
                <w:rFonts w:eastAsia="宋体" w:cs="Times New Roman"/>
                <w:kern w:val="0"/>
                <w:sz w:val="20"/>
                <w:szCs w:val="20"/>
              </w:rPr>
              <w:t>续建</w:t>
            </w:r>
          </w:p>
        </w:tc>
        <w:tc>
          <w:tcPr>
            <w:tcW w:w="2288" w:type="pct"/>
            <w:shd w:val="clear" w:color="000000" w:fill="FFFFFF"/>
            <w:vAlign w:val="center"/>
          </w:tcPr>
          <w:p w14:paraId="7F72F55F">
            <w:pPr>
              <w:jc w:val="center"/>
              <w:rPr>
                <w:rFonts w:eastAsia="宋体" w:cs="Times New Roman"/>
                <w:kern w:val="0"/>
                <w:szCs w:val="21"/>
              </w:rPr>
            </w:pPr>
            <w:r>
              <w:rPr>
                <w:rFonts w:eastAsia="宋体" w:cs="Times New Roman"/>
                <w:kern w:val="0"/>
                <w:szCs w:val="21"/>
              </w:rPr>
              <w:t>堤防长度4.15km，5级堤防，设计标准10年一遇。保护717人的财产安全。</w:t>
            </w:r>
          </w:p>
        </w:tc>
        <w:tc>
          <w:tcPr>
            <w:tcW w:w="506" w:type="pct"/>
            <w:vAlign w:val="center"/>
          </w:tcPr>
          <w:p w14:paraId="783C41AF">
            <w:pPr>
              <w:jc w:val="center"/>
              <w:rPr>
                <w:rFonts w:eastAsia="宋体" w:cs="Times New Roman"/>
                <w:kern w:val="0"/>
                <w:szCs w:val="21"/>
                <w:highlight w:val="yellow"/>
              </w:rPr>
            </w:pPr>
            <w:r>
              <w:rPr>
                <w:rFonts w:eastAsia="宋体" w:cs="Times New Roman"/>
                <w:kern w:val="0"/>
                <w:szCs w:val="21"/>
              </w:rPr>
              <w:t>2022~2025</w:t>
            </w:r>
          </w:p>
        </w:tc>
        <w:tc>
          <w:tcPr>
            <w:tcW w:w="506" w:type="pct"/>
            <w:vAlign w:val="center"/>
          </w:tcPr>
          <w:p w14:paraId="3AB0C04C">
            <w:pPr>
              <w:jc w:val="center"/>
              <w:rPr>
                <w:rFonts w:eastAsia="宋体" w:cs="Times New Roman"/>
                <w:kern w:val="0"/>
                <w:szCs w:val="21"/>
              </w:rPr>
            </w:pPr>
            <w:r>
              <w:rPr>
                <w:rFonts w:eastAsia="宋体" w:cs="Times New Roman"/>
                <w:kern w:val="0"/>
                <w:szCs w:val="21"/>
              </w:rPr>
              <w:t>马利镇</w:t>
            </w:r>
          </w:p>
        </w:tc>
        <w:tc>
          <w:tcPr>
            <w:tcW w:w="406" w:type="pct"/>
            <w:noWrap/>
            <w:vAlign w:val="center"/>
          </w:tcPr>
          <w:p w14:paraId="29CE08D7">
            <w:pPr>
              <w:jc w:val="center"/>
              <w:rPr>
                <w:rFonts w:eastAsia="宋体" w:cs="Times New Roman"/>
                <w:kern w:val="0"/>
                <w:szCs w:val="21"/>
              </w:rPr>
            </w:pPr>
            <w:r>
              <w:rPr>
                <w:rFonts w:eastAsia="宋体" w:cs="Times New Roman"/>
                <w:kern w:val="0"/>
                <w:szCs w:val="21"/>
              </w:rPr>
              <w:t>1098</w:t>
            </w:r>
          </w:p>
        </w:tc>
        <w:tc>
          <w:tcPr>
            <w:tcW w:w="395" w:type="pct"/>
            <w:vAlign w:val="center"/>
          </w:tcPr>
          <w:p w14:paraId="6035E2CA">
            <w:pPr>
              <w:jc w:val="center"/>
              <w:rPr>
                <w:rFonts w:eastAsia="宋体" w:cs="Times New Roman"/>
                <w:kern w:val="0"/>
                <w:szCs w:val="21"/>
              </w:rPr>
            </w:pPr>
            <w:r>
              <w:rPr>
                <w:rFonts w:eastAsia="宋体" w:cs="Times New Roman"/>
                <w:kern w:val="0"/>
                <w:szCs w:val="21"/>
              </w:rPr>
              <w:t>县水利局</w:t>
            </w:r>
          </w:p>
        </w:tc>
      </w:tr>
      <w:tr w14:paraId="23BD1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 w:type="pct"/>
            <w:gridSpan w:val="2"/>
            <w:shd w:val="clear" w:color="auto" w:fill="auto"/>
            <w:vAlign w:val="center"/>
          </w:tcPr>
          <w:p w14:paraId="544DA5AA">
            <w:pPr>
              <w:jc w:val="center"/>
              <w:rPr>
                <w:rFonts w:eastAsia="宋体" w:cs="Times New Roman"/>
                <w:kern w:val="0"/>
                <w:szCs w:val="21"/>
              </w:rPr>
            </w:pPr>
            <w:r>
              <w:rPr>
                <w:rFonts w:hint="eastAsia" w:eastAsia="宋体" w:cs="Times New Roman"/>
                <w:kern w:val="0"/>
                <w:szCs w:val="21"/>
              </w:rPr>
              <w:t>18</w:t>
            </w:r>
          </w:p>
        </w:tc>
        <w:tc>
          <w:tcPr>
            <w:tcW w:w="466" w:type="pct"/>
            <w:shd w:val="clear" w:color="auto" w:fill="auto"/>
            <w:vAlign w:val="center"/>
          </w:tcPr>
          <w:p w14:paraId="41D95EAC">
            <w:pPr>
              <w:jc w:val="center"/>
              <w:rPr>
                <w:rFonts w:eastAsia="宋体" w:cs="Times New Roman"/>
                <w:kern w:val="0"/>
                <w:szCs w:val="21"/>
              </w:rPr>
            </w:pPr>
            <w:r>
              <w:rPr>
                <w:rFonts w:eastAsia="宋体" w:cs="Times New Roman"/>
                <w:kern w:val="0"/>
                <w:szCs w:val="21"/>
              </w:rPr>
              <w:t>昌都市洛隆县康沙镇康沙曲防洪堤工程</w:t>
            </w:r>
          </w:p>
        </w:tc>
        <w:tc>
          <w:tcPr>
            <w:tcW w:w="239" w:type="pct"/>
            <w:shd w:val="clear" w:color="000000" w:fill="FFFFFF"/>
            <w:vAlign w:val="center"/>
          </w:tcPr>
          <w:p w14:paraId="4B11C640">
            <w:pPr>
              <w:jc w:val="center"/>
              <w:rPr>
                <w:rFonts w:eastAsia="宋体" w:cs="Times New Roman"/>
                <w:kern w:val="0"/>
                <w:szCs w:val="21"/>
              </w:rPr>
            </w:pPr>
            <w:r>
              <w:rPr>
                <w:rFonts w:eastAsia="宋体" w:cs="Times New Roman"/>
                <w:kern w:val="0"/>
                <w:sz w:val="20"/>
                <w:szCs w:val="20"/>
              </w:rPr>
              <w:t>续建</w:t>
            </w:r>
          </w:p>
        </w:tc>
        <w:tc>
          <w:tcPr>
            <w:tcW w:w="2288" w:type="pct"/>
            <w:shd w:val="clear" w:color="000000" w:fill="FFFFFF"/>
            <w:vAlign w:val="center"/>
          </w:tcPr>
          <w:p w14:paraId="03EF4FF5">
            <w:pPr>
              <w:jc w:val="center"/>
              <w:rPr>
                <w:rFonts w:eastAsia="宋体" w:cs="Times New Roman"/>
                <w:kern w:val="0"/>
                <w:szCs w:val="21"/>
              </w:rPr>
            </w:pPr>
            <w:r>
              <w:rPr>
                <w:rFonts w:eastAsia="宋体" w:cs="Times New Roman"/>
                <w:kern w:val="0"/>
                <w:szCs w:val="21"/>
              </w:rPr>
              <w:t>综合治理12.135公里，设计标准10年-20年一遇。保护5885人的财产安全和保护耕地1450亩，保护草地和林地5300亩。</w:t>
            </w:r>
          </w:p>
        </w:tc>
        <w:tc>
          <w:tcPr>
            <w:tcW w:w="506" w:type="pct"/>
            <w:vAlign w:val="center"/>
          </w:tcPr>
          <w:p w14:paraId="0EDB2128">
            <w:pPr>
              <w:jc w:val="center"/>
              <w:rPr>
                <w:rFonts w:eastAsia="宋体" w:cs="Times New Roman"/>
                <w:kern w:val="0"/>
                <w:szCs w:val="21"/>
                <w:highlight w:val="yellow"/>
              </w:rPr>
            </w:pPr>
            <w:r>
              <w:rPr>
                <w:rFonts w:eastAsia="宋体" w:cs="Times New Roman"/>
                <w:kern w:val="0"/>
                <w:szCs w:val="21"/>
              </w:rPr>
              <w:t>2022~2025</w:t>
            </w:r>
          </w:p>
        </w:tc>
        <w:tc>
          <w:tcPr>
            <w:tcW w:w="506" w:type="pct"/>
            <w:vAlign w:val="center"/>
          </w:tcPr>
          <w:p w14:paraId="0793A306">
            <w:pPr>
              <w:jc w:val="center"/>
              <w:rPr>
                <w:rFonts w:eastAsia="宋体" w:cs="Times New Roman"/>
                <w:kern w:val="0"/>
                <w:szCs w:val="21"/>
              </w:rPr>
            </w:pPr>
            <w:r>
              <w:rPr>
                <w:rFonts w:eastAsia="宋体" w:cs="Times New Roman"/>
                <w:kern w:val="0"/>
                <w:szCs w:val="21"/>
              </w:rPr>
              <w:t>康沙镇</w:t>
            </w:r>
          </w:p>
        </w:tc>
        <w:tc>
          <w:tcPr>
            <w:tcW w:w="406" w:type="pct"/>
            <w:noWrap/>
            <w:vAlign w:val="center"/>
          </w:tcPr>
          <w:p w14:paraId="45E1C617">
            <w:pPr>
              <w:jc w:val="center"/>
              <w:rPr>
                <w:rFonts w:eastAsia="宋体" w:cs="Times New Roman"/>
                <w:kern w:val="0"/>
                <w:szCs w:val="21"/>
              </w:rPr>
            </w:pPr>
            <w:r>
              <w:rPr>
                <w:rFonts w:eastAsia="宋体" w:cs="Times New Roman"/>
                <w:kern w:val="0"/>
                <w:szCs w:val="21"/>
              </w:rPr>
              <w:t>2913</w:t>
            </w:r>
          </w:p>
        </w:tc>
        <w:tc>
          <w:tcPr>
            <w:tcW w:w="395" w:type="pct"/>
            <w:vAlign w:val="center"/>
          </w:tcPr>
          <w:p w14:paraId="017940F1">
            <w:pPr>
              <w:jc w:val="center"/>
              <w:rPr>
                <w:rFonts w:eastAsia="宋体" w:cs="Times New Roman"/>
                <w:kern w:val="0"/>
                <w:szCs w:val="21"/>
              </w:rPr>
            </w:pPr>
            <w:r>
              <w:rPr>
                <w:rFonts w:eastAsia="宋体" w:cs="Times New Roman"/>
                <w:kern w:val="0"/>
                <w:szCs w:val="21"/>
              </w:rPr>
              <w:t>县水利局</w:t>
            </w:r>
          </w:p>
        </w:tc>
      </w:tr>
      <w:tr w14:paraId="1C149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 w:type="pct"/>
            <w:gridSpan w:val="2"/>
            <w:shd w:val="clear" w:color="auto" w:fill="auto"/>
            <w:vAlign w:val="center"/>
          </w:tcPr>
          <w:p w14:paraId="2809624B">
            <w:pPr>
              <w:jc w:val="center"/>
              <w:rPr>
                <w:rFonts w:eastAsia="宋体" w:cs="Times New Roman"/>
                <w:kern w:val="0"/>
                <w:szCs w:val="21"/>
              </w:rPr>
            </w:pPr>
            <w:r>
              <w:rPr>
                <w:rFonts w:hint="eastAsia" w:eastAsia="宋体" w:cs="Times New Roman"/>
                <w:kern w:val="0"/>
                <w:szCs w:val="21"/>
              </w:rPr>
              <w:t>19</w:t>
            </w:r>
          </w:p>
        </w:tc>
        <w:tc>
          <w:tcPr>
            <w:tcW w:w="466" w:type="pct"/>
            <w:shd w:val="clear" w:color="auto" w:fill="auto"/>
            <w:vAlign w:val="center"/>
          </w:tcPr>
          <w:p w14:paraId="0B0CAC55">
            <w:pPr>
              <w:jc w:val="center"/>
              <w:rPr>
                <w:rFonts w:eastAsia="宋体" w:cs="Times New Roman"/>
                <w:kern w:val="0"/>
                <w:szCs w:val="21"/>
              </w:rPr>
            </w:pPr>
            <w:r>
              <w:rPr>
                <w:rFonts w:eastAsia="宋体" w:cs="Times New Roman"/>
                <w:kern w:val="0"/>
                <w:szCs w:val="21"/>
              </w:rPr>
              <w:t>昌都市洛隆县格谱曲河道治理工程</w:t>
            </w:r>
          </w:p>
        </w:tc>
        <w:tc>
          <w:tcPr>
            <w:tcW w:w="239" w:type="pct"/>
            <w:shd w:val="clear" w:color="000000" w:fill="FFFFFF"/>
            <w:vAlign w:val="center"/>
          </w:tcPr>
          <w:p w14:paraId="003BE2E1">
            <w:pPr>
              <w:jc w:val="center"/>
              <w:rPr>
                <w:rFonts w:eastAsia="宋体" w:cs="Times New Roman"/>
                <w:kern w:val="0"/>
                <w:szCs w:val="21"/>
              </w:rPr>
            </w:pPr>
            <w:r>
              <w:rPr>
                <w:rFonts w:eastAsia="宋体" w:cs="Times New Roman"/>
                <w:kern w:val="0"/>
                <w:sz w:val="20"/>
                <w:szCs w:val="20"/>
              </w:rPr>
              <w:t>续建</w:t>
            </w:r>
          </w:p>
        </w:tc>
        <w:tc>
          <w:tcPr>
            <w:tcW w:w="2288" w:type="pct"/>
            <w:shd w:val="clear" w:color="000000" w:fill="FFFFFF"/>
            <w:vAlign w:val="center"/>
          </w:tcPr>
          <w:p w14:paraId="147B9118">
            <w:pPr>
              <w:jc w:val="center"/>
              <w:rPr>
                <w:rFonts w:eastAsia="宋体" w:cs="Times New Roman"/>
                <w:kern w:val="0"/>
                <w:szCs w:val="21"/>
              </w:rPr>
            </w:pPr>
            <w:r>
              <w:rPr>
                <w:rFonts w:eastAsia="宋体" w:cs="Times New Roman"/>
                <w:kern w:val="0"/>
                <w:szCs w:val="21"/>
              </w:rPr>
              <w:t>河道治理8公里，新建防洪堤8公里，设计标准为10年一遇，保护312人的财产安全和保护耕地200亩，保护草地和林地1800亩。</w:t>
            </w:r>
          </w:p>
        </w:tc>
        <w:tc>
          <w:tcPr>
            <w:tcW w:w="506" w:type="pct"/>
            <w:vAlign w:val="center"/>
          </w:tcPr>
          <w:p w14:paraId="6379FC27">
            <w:pPr>
              <w:jc w:val="center"/>
              <w:rPr>
                <w:rFonts w:eastAsia="宋体" w:cs="Times New Roman"/>
                <w:kern w:val="0"/>
                <w:szCs w:val="21"/>
                <w:highlight w:val="yellow"/>
              </w:rPr>
            </w:pPr>
            <w:r>
              <w:rPr>
                <w:rFonts w:eastAsia="宋体" w:cs="Times New Roman"/>
                <w:kern w:val="0"/>
                <w:szCs w:val="21"/>
              </w:rPr>
              <w:t>2022~2025</w:t>
            </w:r>
          </w:p>
        </w:tc>
        <w:tc>
          <w:tcPr>
            <w:tcW w:w="506" w:type="pct"/>
            <w:vAlign w:val="center"/>
          </w:tcPr>
          <w:p w14:paraId="59CB5E18">
            <w:pPr>
              <w:jc w:val="center"/>
              <w:rPr>
                <w:rFonts w:eastAsia="宋体" w:cs="Times New Roman"/>
                <w:kern w:val="0"/>
                <w:szCs w:val="21"/>
              </w:rPr>
            </w:pPr>
            <w:r>
              <w:rPr>
                <w:rFonts w:eastAsia="宋体" w:cs="Times New Roman"/>
                <w:kern w:val="0"/>
                <w:szCs w:val="21"/>
              </w:rPr>
              <w:t>格谱曲</w:t>
            </w:r>
          </w:p>
        </w:tc>
        <w:tc>
          <w:tcPr>
            <w:tcW w:w="406" w:type="pct"/>
            <w:noWrap/>
            <w:vAlign w:val="center"/>
          </w:tcPr>
          <w:p w14:paraId="69E5A4FE">
            <w:pPr>
              <w:jc w:val="center"/>
              <w:rPr>
                <w:rFonts w:eastAsia="宋体" w:cs="Times New Roman"/>
                <w:kern w:val="0"/>
                <w:szCs w:val="21"/>
              </w:rPr>
            </w:pPr>
            <w:r>
              <w:rPr>
                <w:rFonts w:eastAsia="宋体" w:cs="Times New Roman"/>
                <w:kern w:val="0"/>
                <w:szCs w:val="21"/>
              </w:rPr>
              <w:t>4500</w:t>
            </w:r>
          </w:p>
        </w:tc>
        <w:tc>
          <w:tcPr>
            <w:tcW w:w="395" w:type="pct"/>
            <w:vAlign w:val="center"/>
          </w:tcPr>
          <w:p w14:paraId="29F7A228">
            <w:pPr>
              <w:jc w:val="center"/>
              <w:rPr>
                <w:rFonts w:eastAsia="宋体" w:cs="Times New Roman"/>
                <w:kern w:val="0"/>
                <w:szCs w:val="21"/>
              </w:rPr>
            </w:pPr>
            <w:r>
              <w:rPr>
                <w:rFonts w:eastAsia="宋体" w:cs="Times New Roman"/>
                <w:kern w:val="0"/>
                <w:szCs w:val="21"/>
              </w:rPr>
              <w:t>县水利局</w:t>
            </w:r>
          </w:p>
        </w:tc>
      </w:tr>
      <w:tr w14:paraId="36700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 w:type="pct"/>
            <w:gridSpan w:val="2"/>
            <w:shd w:val="clear" w:color="auto" w:fill="auto"/>
            <w:vAlign w:val="center"/>
          </w:tcPr>
          <w:p w14:paraId="5C31F00D">
            <w:pPr>
              <w:jc w:val="center"/>
              <w:rPr>
                <w:rFonts w:eastAsia="宋体" w:cs="Times New Roman"/>
                <w:kern w:val="0"/>
                <w:szCs w:val="21"/>
              </w:rPr>
            </w:pPr>
            <w:r>
              <w:rPr>
                <w:rFonts w:hint="eastAsia" w:eastAsia="宋体" w:cs="Times New Roman"/>
                <w:kern w:val="0"/>
                <w:szCs w:val="21"/>
              </w:rPr>
              <w:t>20</w:t>
            </w:r>
          </w:p>
        </w:tc>
        <w:tc>
          <w:tcPr>
            <w:tcW w:w="466" w:type="pct"/>
            <w:shd w:val="clear" w:color="auto" w:fill="auto"/>
            <w:vAlign w:val="center"/>
          </w:tcPr>
          <w:p w14:paraId="02D30BB4">
            <w:pPr>
              <w:jc w:val="center"/>
              <w:rPr>
                <w:rFonts w:eastAsia="宋体" w:cs="Times New Roman"/>
                <w:kern w:val="0"/>
                <w:szCs w:val="21"/>
              </w:rPr>
            </w:pPr>
            <w:r>
              <w:rPr>
                <w:rFonts w:eastAsia="宋体" w:cs="Times New Roman"/>
                <w:kern w:val="0"/>
                <w:szCs w:val="21"/>
              </w:rPr>
              <w:t>昌都市洛隆县拉依村防洪堤工程</w:t>
            </w:r>
          </w:p>
        </w:tc>
        <w:tc>
          <w:tcPr>
            <w:tcW w:w="239" w:type="pct"/>
            <w:shd w:val="clear" w:color="000000" w:fill="FFFFFF"/>
            <w:vAlign w:val="center"/>
          </w:tcPr>
          <w:p w14:paraId="757497DC">
            <w:pPr>
              <w:jc w:val="center"/>
              <w:rPr>
                <w:rFonts w:eastAsia="宋体" w:cs="Times New Roman"/>
                <w:kern w:val="0"/>
                <w:szCs w:val="21"/>
              </w:rPr>
            </w:pPr>
            <w:r>
              <w:rPr>
                <w:rFonts w:eastAsia="宋体" w:cs="Times New Roman"/>
                <w:kern w:val="0"/>
                <w:sz w:val="20"/>
                <w:szCs w:val="20"/>
              </w:rPr>
              <w:t>续建</w:t>
            </w:r>
          </w:p>
        </w:tc>
        <w:tc>
          <w:tcPr>
            <w:tcW w:w="2288" w:type="pct"/>
            <w:shd w:val="clear" w:color="000000" w:fill="FFFFFF"/>
            <w:vAlign w:val="center"/>
          </w:tcPr>
          <w:p w14:paraId="14F2B7DB">
            <w:pPr>
              <w:jc w:val="center"/>
              <w:rPr>
                <w:rFonts w:eastAsia="宋体" w:cs="Times New Roman"/>
                <w:kern w:val="0"/>
                <w:szCs w:val="21"/>
              </w:rPr>
            </w:pPr>
            <w:r>
              <w:rPr>
                <w:rFonts w:eastAsia="宋体" w:cs="Times New Roman"/>
                <w:kern w:val="0"/>
                <w:szCs w:val="21"/>
              </w:rPr>
              <w:t>新建防洪堤10公里，设计标准为10年一遇，保护1512人的财产安全和保护耕地1200亩，保护草地和林地1100亩。</w:t>
            </w:r>
          </w:p>
        </w:tc>
        <w:tc>
          <w:tcPr>
            <w:tcW w:w="506" w:type="pct"/>
            <w:vAlign w:val="center"/>
          </w:tcPr>
          <w:p w14:paraId="3E840A60">
            <w:pPr>
              <w:jc w:val="center"/>
              <w:rPr>
                <w:rFonts w:eastAsia="宋体" w:cs="Times New Roman"/>
                <w:kern w:val="0"/>
                <w:szCs w:val="21"/>
                <w:highlight w:val="yellow"/>
              </w:rPr>
            </w:pPr>
            <w:r>
              <w:rPr>
                <w:rFonts w:eastAsia="宋体" w:cs="Times New Roman"/>
                <w:kern w:val="0"/>
                <w:szCs w:val="21"/>
              </w:rPr>
              <w:t>2022~2025</w:t>
            </w:r>
          </w:p>
        </w:tc>
        <w:tc>
          <w:tcPr>
            <w:tcW w:w="506" w:type="pct"/>
            <w:vAlign w:val="center"/>
          </w:tcPr>
          <w:p w14:paraId="6A8ED918">
            <w:pPr>
              <w:jc w:val="center"/>
              <w:rPr>
                <w:rFonts w:eastAsia="宋体" w:cs="Times New Roman"/>
                <w:kern w:val="0"/>
                <w:szCs w:val="21"/>
              </w:rPr>
            </w:pPr>
            <w:r>
              <w:rPr>
                <w:rFonts w:eastAsia="宋体" w:cs="Times New Roman"/>
                <w:kern w:val="0"/>
                <w:szCs w:val="21"/>
              </w:rPr>
              <w:t>拉依村</w:t>
            </w:r>
          </w:p>
        </w:tc>
        <w:tc>
          <w:tcPr>
            <w:tcW w:w="406" w:type="pct"/>
            <w:noWrap/>
            <w:vAlign w:val="center"/>
          </w:tcPr>
          <w:p w14:paraId="052B4DDB">
            <w:pPr>
              <w:jc w:val="center"/>
              <w:rPr>
                <w:rFonts w:eastAsia="宋体" w:cs="Times New Roman"/>
                <w:kern w:val="0"/>
                <w:szCs w:val="21"/>
              </w:rPr>
            </w:pPr>
            <w:r>
              <w:rPr>
                <w:rFonts w:eastAsia="宋体" w:cs="Times New Roman"/>
                <w:kern w:val="0"/>
                <w:szCs w:val="21"/>
              </w:rPr>
              <w:t>6400</w:t>
            </w:r>
          </w:p>
        </w:tc>
        <w:tc>
          <w:tcPr>
            <w:tcW w:w="395" w:type="pct"/>
            <w:vAlign w:val="center"/>
          </w:tcPr>
          <w:p w14:paraId="69567FC1">
            <w:pPr>
              <w:jc w:val="center"/>
              <w:rPr>
                <w:rFonts w:eastAsia="宋体" w:cs="Times New Roman"/>
                <w:kern w:val="0"/>
                <w:szCs w:val="21"/>
              </w:rPr>
            </w:pPr>
            <w:r>
              <w:rPr>
                <w:rFonts w:eastAsia="宋体" w:cs="Times New Roman"/>
                <w:kern w:val="0"/>
                <w:szCs w:val="21"/>
              </w:rPr>
              <w:t>县水利局</w:t>
            </w:r>
          </w:p>
        </w:tc>
      </w:tr>
      <w:tr w14:paraId="62FAF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 w:type="pct"/>
            <w:gridSpan w:val="2"/>
            <w:shd w:val="clear" w:color="auto" w:fill="auto"/>
            <w:vAlign w:val="center"/>
          </w:tcPr>
          <w:p w14:paraId="03D4AA6E">
            <w:pPr>
              <w:jc w:val="center"/>
              <w:rPr>
                <w:rFonts w:eastAsia="宋体" w:cs="Times New Roman"/>
                <w:kern w:val="0"/>
                <w:szCs w:val="21"/>
              </w:rPr>
            </w:pPr>
            <w:r>
              <w:rPr>
                <w:rFonts w:hint="eastAsia" w:eastAsia="宋体" w:cs="Times New Roman"/>
                <w:kern w:val="0"/>
                <w:szCs w:val="21"/>
              </w:rPr>
              <w:t>21</w:t>
            </w:r>
          </w:p>
        </w:tc>
        <w:tc>
          <w:tcPr>
            <w:tcW w:w="466" w:type="pct"/>
            <w:shd w:val="clear" w:color="auto" w:fill="auto"/>
            <w:vAlign w:val="center"/>
          </w:tcPr>
          <w:p w14:paraId="109AEE71">
            <w:pPr>
              <w:jc w:val="center"/>
              <w:rPr>
                <w:rFonts w:eastAsia="宋体" w:cs="Times New Roman"/>
                <w:kern w:val="0"/>
                <w:szCs w:val="21"/>
              </w:rPr>
            </w:pPr>
            <w:r>
              <w:rPr>
                <w:rFonts w:eastAsia="宋体" w:cs="Times New Roman"/>
                <w:kern w:val="0"/>
                <w:szCs w:val="21"/>
              </w:rPr>
              <w:t>昌都市洛隆县康沙镇水土流失治理工程</w:t>
            </w:r>
          </w:p>
        </w:tc>
        <w:tc>
          <w:tcPr>
            <w:tcW w:w="239" w:type="pct"/>
            <w:shd w:val="clear" w:color="000000" w:fill="FFFFFF"/>
            <w:vAlign w:val="center"/>
          </w:tcPr>
          <w:p w14:paraId="22BA2C89">
            <w:pPr>
              <w:jc w:val="center"/>
              <w:rPr>
                <w:rFonts w:eastAsia="宋体" w:cs="Times New Roman"/>
                <w:kern w:val="0"/>
                <w:szCs w:val="21"/>
              </w:rPr>
            </w:pPr>
            <w:r>
              <w:rPr>
                <w:rFonts w:eastAsia="宋体" w:cs="Times New Roman"/>
                <w:kern w:val="0"/>
                <w:sz w:val="20"/>
                <w:szCs w:val="20"/>
              </w:rPr>
              <w:t>续建</w:t>
            </w:r>
          </w:p>
        </w:tc>
        <w:tc>
          <w:tcPr>
            <w:tcW w:w="2288" w:type="pct"/>
            <w:shd w:val="clear" w:color="000000" w:fill="FFFFFF"/>
            <w:vAlign w:val="center"/>
          </w:tcPr>
          <w:p w14:paraId="5B4B422F">
            <w:pPr>
              <w:jc w:val="center"/>
              <w:rPr>
                <w:rFonts w:eastAsia="宋体" w:cs="Times New Roman"/>
                <w:kern w:val="0"/>
                <w:szCs w:val="21"/>
              </w:rPr>
            </w:pPr>
            <w:r>
              <w:rPr>
                <w:rFonts w:eastAsia="宋体" w:cs="Times New Roman"/>
                <w:kern w:val="0"/>
                <w:szCs w:val="21"/>
              </w:rPr>
              <w:t>治理水土流失60平方公里</w:t>
            </w:r>
          </w:p>
        </w:tc>
        <w:tc>
          <w:tcPr>
            <w:tcW w:w="506" w:type="pct"/>
            <w:vAlign w:val="center"/>
          </w:tcPr>
          <w:p w14:paraId="7136EAAD">
            <w:pPr>
              <w:jc w:val="center"/>
              <w:rPr>
                <w:rFonts w:eastAsia="宋体" w:cs="Times New Roman"/>
                <w:kern w:val="0"/>
                <w:szCs w:val="21"/>
                <w:highlight w:val="yellow"/>
              </w:rPr>
            </w:pPr>
            <w:r>
              <w:rPr>
                <w:rFonts w:eastAsia="宋体" w:cs="Times New Roman"/>
                <w:kern w:val="0"/>
                <w:szCs w:val="21"/>
              </w:rPr>
              <w:t>2022~2025</w:t>
            </w:r>
          </w:p>
        </w:tc>
        <w:tc>
          <w:tcPr>
            <w:tcW w:w="506" w:type="pct"/>
            <w:vAlign w:val="center"/>
          </w:tcPr>
          <w:p w14:paraId="62D5D460">
            <w:pPr>
              <w:jc w:val="center"/>
              <w:rPr>
                <w:rFonts w:eastAsia="宋体" w:cs="Times New Roman"/>
                <w:kern w:val="0"/>
                <w:szCs w:val="21"/>
              </w:rPr>
            </w:pPr>
            <w:r>
              <w:rPr>
                <w:rFonts w:eastAsia="宋体" w:cs="Times New Roman"/>
                <w:kern w:val="0"/>
                <w:szCs w:val="21"/>
              </w:rPr>
              <w:t>康沙镇</w:t>
            </w:r>
          </w:p>
        </w:tc>
        <w:tc>
          <w:tcPr>
            <w:tcW w:w="406" w:type="pct"/>
            <w:noWrap/>
            <w:vAlign w:val="center"/>
          </w:tcPr>
          <w:p w14:paraId="40414582">
            <w:pPr>
              <w:jc w:val="center"/>
              <w:rPr>
                <w:rFonts w:eastAsia="宋体" w:cs="Times New Roman"/>
                <w:kern w:val="0"/>
                <w:szCs w:val="21"/>
              </w:rPr>
            </w:pPr>
            <w:r>
              <w:rPr>
                <w:rFonts w:eastAsia="宋体" w:cs="Times New Roman"/>
                <w:kern w:val="0"/>
                <w:szCs w:val="21"/>
              </w:rPr>
              <w:t>4500</w:t>
            </w:r>
          </w:p>
        </w:tc>
        <w:tc>
          <w:tcPr>
            <w:tcW w:w="395" w:type="pct"/>
            <w:vAlign w:val="center"/>
          </w:tcPr>
          <w:p w14:paraId="231475E1">
            <w:pPr>
              <w:jc w:val="center"/>
              <w:rPr>
                <w:rFonts w:eastAsia="宋体" w:cs="Times New Roman"/>
                <w:kern w:val="0"/>
                <w:szCs w:val="21"/>
              </w:rPr>
            </w:pPr>
            <w:r>
              <w:rPr>
                <w:rFonts w:eastAsia="宋体" w:cs="Times New Roman"/>
                <w:kern w:val="0"/>
                <w:szCs w:val="21"/>
              </w:rPr>
              <w:t>县水利局</w:t>
            </w:r>
          </w:p>
        </w:tc>
      </w:tr>
      <w:tr w14:paraId="2D4DA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 w:type="pct"/>
            <w:gridSpan w:val="2"/>
            <w:shd w:val="clear" w:color="auto" w:fill="auto"/>
            <w:vAlign w:val="center"/>
          </w:tcPr>
          <w:p w14:paraId="4FEB8427">
            <w:pPr>
              <w:jc w:val="center"/>
              <w:rPr>
                <w:rFonts w:eastAsia="宋体" w:cs="Times New Roman"/>
                <w:kern w:val="0"/>
                <w:szCs w:val="21"/>
              </w:rPr>
            </w:pPr>
            <w:r>
              <w:rPr>
                <w:rFonts w:hint="eastAsia" w:eastAsia="宋体" w:cs="Times New Roman"/>
                <w:kern w:val="0"/>
                <w:szCs w:val="21"/>
              </w:rPr>
              <w:t>22</w:t>
            </w:r>
          </w:p>
        </w:tc>
        <w:tc>
          <w:tcPr>
            <w:tcW w:w="466" w:type="pct"/>
            <w:shd w:val="clear" w:color="auto" w:fill="auto"/>
            <w:vAlign w:val="center"/>
          </w:tcPr>
          <w:p w14:paraId="19399CB8">
            <w:pPr>
              <w:jc w:val="center"/>
              <w:rPr>
                <w:rFonts w:eastAsia="宋体" w:cs="Times New Roman"/>
                <w:kern w:val="0"/>
                <w:szCs w:val="21"/>
              </w:rPr>
            </w:pPr>
            <w:r>
              <w:rPr>
                <w:rFonts w:eastAsia="宋体" w:cs="Times New Roman"/>
                <w:kern w:val="0"/>
                <w:szCs w:val="21"/>
              </w:rPr>
              <w:t>昌都市洛隆县多则曲小流域综合治理工程</w:t>
            </w:r>
          </w:p>
        </w:tc>
        <w:tc>
          <w:tcPr>
            <w:tcW w:w="239" w:type="pct"/>
            <w:shd w:val="clear" w:color="000000" w:fill="FFFFFF"/>
            <w:vAlign w:val="center"/>
          </w:tcPr>
          <w:p w14:paraId="523DFC6F">
            <w:pPr>
              <w:jc w:val="center"/>
              <w:rPr>
                <w:rFonts w:eastAsia="宋体" w:cs="Times New Roman"/>
                <w:kern w:val="0"/>
                <w:szCs w:val="21"/>
              </w:rPr>
            </w:pPr>
            <w:r>
              <w:rPr>
                <w:rFonts w:eastAsia="宋体" w:cs="Times New Roman"/>
                <w:kern w:val="0"/>
                <w:sz w:val="20"/>
                <w:szCs w:val="20"/>
              </w:rPr>
              <w:t>续建</w:t>
            </w:r>
          </w:p>
        </w:tc>
        <w:tc>
          <w:tcPr>
            <w:tcW w:w="2288" w:type="pct"/>
            <w:shd w:val="clear" w:color="000000" w:fill="FFFFFF"/>
            <w:vAlign w:val="center"/>
          </w:tcPr>
          <w:p w14:paraId="2F0A1401">
            <w:pPr>
              <w:jc w:val="center"/>
              <w:rPr>
                <w:rFonts w:eastAsia="宋体" w:cs="Times New Roman"/>
                <w:kern w:val="0"/>
                <w:szCs w:val="21"/>
              </w:rPr>
            </w:pPr>
            <w:r>
              <w:rPr>
                <w:rFonts w:eastAsia="宋体" w:cs="Times New Roman"/>
                <w:kern w:val="0"/>
                <w:szCs w:val="21"/>
              </w:rPr>
              <w:t>水土流失治理面积42平方公里</w:t>
            </w:r>
          </w:p>
        </w:tc>
        <w:tc>
          <w:tcPr>
            <w:tcW w:w="506" w:type="pct"/>
            <w:vAlign w:val="center"/>
          </w:tcPr>
          <w:p w14:paraId="30AE307F">
            <w:pPr>
              <w:jc w:val="center"/>
              <w:rPr>
                <w:rFonts w:eastAsia="宋体" w:cs="Times New Roman"/>
                <w:kern w:val="0"/>
                <w:szCs w:val="21"/>
                <w:highlight w:val="yellow"/>
              </w:rPr>
            </w:pPr>
            <w:r>
              <w:rPr>
                <w:rFonts w:eastAsia="宋体" w:cs="Times New Roman"/>
                <w:kern w:val="0"/>
                <w:szCs w:val="21"/>
              </w:rPr>
              <w:t>2022~2025</w:t>
            </w:r>
          </w:p>
        </w:tc>
        <w:tc>
          <w:tcPr>
            <w:tcW w:w="506" w:type="pct"/>
            <w:vAlign w:val="center"/>
          </w:tcPr>
          <w:p w14:paraId="25875294">
            <w:pPr>
              <w:jc w:val="center"/>
              <w:rPr>
                <w:rFonts w:eastAsia="宋体" w:cs="Times New Roman"/>
                <w:kern w:val="0"/>
                <w:szCs w:val="21"/>
              </w:rPr>
            </w:pPr>
            <w:r>
              <w:rPr>
                <w:rFonts w:eastAsia="宋体" w:cs="Times New Roman"/>
                <w:kern w:val="0"/>
                <w:szCs w:val="21"/>
              </w:rPr>
              <w:t>多则曲</w:t>
            </w:r>
          </w:p>
        </w:tc>
        <w:tc>
          <w:tcPr>
            <w:tcW w:w="406" w:type="pct"/>
            <w:noWrap/>
            <w:vAlign w:val="center"/>
          </w:tcPr>
          <w:p w14:paraId="5377B475">
            <w:pPr>
              <w:jc w:val="center"/>
              <w:rPr>
                <w:rFonts w:eastAsia="宋体" w:cs="Times New Roman"/>
                <w:kern w:val="0"/>
                <w:szCs w:val="21"/>
              </w:rPr>
            </w:pPr>
            <w:r>
              <w:rPr>
                <w:rFonts w:eastAsia="宋体" w:cs="Times New Roman"/>
                <w:kern w:val="0"/>
                <w:szCs w:val="21"/>
              </w:rPr>
              <w:t>5000</w:t>
            </w:r>
          </w:p>
        </w:tc>
        <w:tc>
          <w:tcPr>
            <w:tcW w:w="395" w:type="pct"/>
            <w:vAlign w:val="center"/>
          </w:tcPr>
          <w:p w14:paraId="3252CB4A">
            <w:pPr>
              <w:jc w:val="center"/>
              <w:rPr>
                <w:rFonts w:eastAsia="宋体" w:cs="Times New Roman"/>
                <w:kern w:val="0"/>
                <w:szCs w:val="21"/>
              </w:rPr>
            </w:pPr>
            <w:r>
              <w:rPr>
                <w:rFonts w:eastAsia="宋体" w:cs="Times New Roman"/>
                <w:kern w:val="0"/>
                <w:szCs w:val="21"/>
              </w:rPr>
              <w:t>县水利局</w:t>
            </w:r>
          </w:p>
        </w:tc>
      </w:tr>
      <w:tr w14:paraId="29603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 w:type="pct"/>
            <w:gridSpan w:val="2"/>
            <w:shd w:val="clear" w:color="auto" w:fill="auto"/>
            <w:vAlign w:val="center"/>
          </w:tcPr>
          <w:p w14:paraId="17108CC1">
            <w:pPr>
              <w:jc w:val="center"/>
              <w:rPr>
                <w:rFonts w:eastAsia="宋体" w:cs="Times New Roman"/>
                <w:kern w:val="0"/>
                <w:szCs w:val="21"/>
              </w:rPr>
            </w:pPr>
            <w:r>
              <w:rPr>
                <w:rFonts w:hint="eastAsia" w:eastAsia="宋体" w:cs="Times New Roman"/>
                <w:kern w:val="0"/>
                <w:szCs w:val="21"/>
              </w:rPr>
              <w:t>23</w:t>
            </w:r>
          </w:p>
        </w:tc>
        <w:tc>
          <w:tcPr>
            <w:tcW w:w="466" w:type="pct"/>
            <w:shd w:val="clear" w:color="auto" w:fill="auto"/>
            <w:vAlign w:val="center"/>
          </w:tcPr>
          <w:p w14:paraId="70F488B3">
            <w:pPr>
              <w:jc w:val="center"/>
              <w:rPr>
                <w:rFonts w:eastAsia="宋体" w:cs="Times New Roman"/>
                <w:kern w:val="0"/>
                <w:szCs w:val="21"/>
              </w:rPr>
            </w:pPr>
            <w:r>
              <w:rPr>
                <w:rFonts w:eastAsia="宋体" w:cs="Times New Roman"/>
                <w:kern w:val="0"/>
                <w:szCs w:val="21"/>
              </w:rPr>
              <w:t>昌都市洛隆县新城区防洪堤工程</w:t>
            </w:r>
          </w:p>
        </w:tc>
        <w:tc>
          <w:tcPr>
            <w:tcW w:w="239" w:type="pct"/>
            <w:shd w:val="clear" w:color="000000" w:fill="FFFFFF"/>
            <w:vAlign w:val="center"/>
          </w:tcPr>
          <w:p w14:paraId="702D2AE5">
            <w:pPr>
              <w:jc w:val="center"/>
              <w:rPr>
                <w:rFonts w:eastAsia="宋体" w:cs="Times New Roman"/>
                <w:kern w:val="0"/>
                <w:szCs w:val="21"/>
              </w:rPr>
            </w:pPr>
            <w:r>
              <w:rPr>
                <w:rFonts w:eastAsia="宋体" w:cs="Times New Roman"/>
                <w:kern w:val="0"/>
                <w:sz w:val="20"/>
                <w:szCs w:val="20"/>
              </w:rPr>
              <w:t>续建</w:t>
            </w:r>
          </w:p>
        </w:tc>
        <w:tc>
          <w:tcPr>
            <w:tcW w:w="2288" w:type="pct"/>
            <w:shd w:val="clear" w:color="000000" w:fill="FFFFFF"/>
            <w:vAlign w:val="center"/>
          </w:tcPr>
          <w:p w14:paraId="0FD37460">
            <w:pPr>
              <w:jc w:val="center"/>
              <w:rPr>
                <w:rFonts w:eastAsia="宋体" w:cs="Times New Roman"/>
                <w:kern w:val="0"/>
                <w:szCs w:val="21"/>
              </w:rPr>
            </w:pPr>
            <w:r>
              <w:rPr>
                <w:rFonts w:eastAsia="宋体" w:cs="Times New Roman"/>
                <w:kern w:val="0"/>
                <w:szCs w:val="21"/>
              </w:rPr>
              <w:t>堤防长度4.6公里，3级堤防，防洪标准30年，保护350人的财产安全和保护耕地700亩。</w:t>
            </w:r>
          </w:p>
        </w:tc>
        <w:tc>
          <w:tcPr>
            <w:tcW w:w="506" w:type="pct"/>
            <w:vAlign w:val="center"/>
          </w:tcPr>
          <w:p w14:paraId="3E2450FB">
            <w:pPr>
              <w:jc w:val="center"/>
              <w:rPr>
                <w:rFonts w:eastAsia="宋体" w:cs="Times New Roman"/>
                <w:kern w:val="0"/>
                <w:szCs w:val="21"/>
                <w:highlight w:val="yellow"/>
              </w:rPr>
            </w:pPr>
            <w:r>
              <w:rPr>
                <w:rFonts w:eastAsia="宋体" w:cs="Times New Roman"/>
                <w:kern w:val="0"/>
                <w:szCs w:val="21"/>
              </w:rPr>
              <w:t>2022~2025</w:t>
            </w:r>
          </w:p>
        </w:tc>
        <w:tc>
          <w:tcPr>
            <w:tcW w:w="506" w:type="pct"/>
            <w:vAlign w:val="center"/>
          </w:tcPr>
          <w:p w14:paraId="12437950">
            <w:pPr>
              <w:jc w:val="center"/>
              <w:rPr>
                <w:rFonts w:eastAsia="宋体" w:cs="Times New Roman"/>
                <w:kern w:val="0"/>
                <w:szCs w:val="21"/>
              </w:rPr>
            </w:pPr>
            <w:r>
              <w:rPr>
                <w:rFonts w:eastAsia="宋体" w:cs="Times New Roman"/>
                <w:kern w:val="0"/>
                <w:szCs w:val="21"/>
              </w:rPr>
              <w:t>新城区</w:t>
            </w:r>
          </w:p>
        </w:tc>
        <w:tc>
          <w:tcPr>
            <w:tcW w:w="406" w:type="pct"/>
            <w:noWrap/>
            <w:vAlign w:val="center"/>
          </w:tcPr>
          <w:p w14:paraId="4191BA85">
            <w:pPr>
              <w:jc w:val="center"/>
              <w:rPr>
                <w:rFonts w:eastAsia="宋体" w:cs="Times New Roman"/>
                <w:kern w:val="0"/>
                <w:szCs w:val="21"/>
              </w:rPr>
            </w:pPr>
            <w:r>
              <w:rPr>
                <w:rFonts w:eastAsia="宋体" w:cs="Times New Roman"/>
                <w:kern w:val="0"/>
                <w:szCs w:val="21"/>
              </w:rPr>
              <w:t>1946</w:t>
            </w:r>
          </w:p>
        </w:tc>
        <w:tc>
          <w:tcPr>
            <w:tcW w:w="395" w:type="pct"/>
            <w:vAlign w:val="center"/>
          </w:tcPr>
          <w:p w14:paraId="0EAD4C99">
            <w:pPr>
              <w:jc w:val="center"/>
              <w:rPr>
                <w:rFonts w:eastAsia="宋体" w:cs="Times New Roman"/>
                <w:kern w:val="0"/>
                <w:szCs w:val="21"/>
              </w:rPr>
            </w:pPr>
            <w:r>
              <w:rPr>
                <w:rFonts w:eastAsia="宋体" w:cs="Times New Roman"/>
                <w:kern w:val="0"/>
                <w:szCs w:val="21"/>
              </w:rPr>
              <w:t>县水利局</w:t>
            </w:r>
          </w:p>
        </w:tc>
      </w:tr>
      <w:tr w14:paraId="7114D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 w:type="pct"/>
            <w:gridSpan w:val="2"/>
            <w:shd w:val="clear" w:color="auto" w:fill="auto"/>
            <w:vAlign w:val="center"/>
          </w:tcPr>
          <w:p w14:paraId="6B8F0011">
            <w:pPr>
              <w:jc w:val="center"/>
              <w:rPr>
                <w:rFonts w:eastAsia="宋体" w:cs="Times New Roman"/>
                <w:kern w:val="0"/>
                <w:szCs w:val="21"/>
              </w:rPr>
            </w:pPr>
            <w:r>
              <w:rPr>
                <w:rFonts w:hint="eastAsia" w:eastAsia="宋体" w:cs="Times New Roman"/>
                <w:kern w:val="0"/>
                <w:szCs w:val="21"/>
              </w:rPr>
              <w:t>24</w:t>
            </w:r>
          </w:p>
        </w:tc>
        <w:tc>
          <w:tcPr>
            <w:tcW w:w="466" w:type="pct"/>
            <w:shd w:val="clear" w:color="auto" w:fill="auto"/>
            <w:vAlign w:val="center"/>
          </w:tcPr>
          <w:p w14:paraId="680289AE">
            <w:pPr>
              <w:jc w:val="center"/>
              <w:rPr>
                <w:rFonts w:eastAsia="宋体" w:cs="Times New Roman"/>
                <w:kern w:val="0"/>
                <w:szCs w:val="21"/>
              </w:rPr>
            </w:pPr>
            <w:r>
              <w:rPr>
                <w:rFonts w:eastAsia="宋体" w:cs="Times New Roman"/>
                <w:kern w:val="0"/>
                <w:szCs w:val="21"/>
              </w:rPr>
              <w:t>洛隆县康沙曲生态治理工程</w:t>
            </w:r>
          </w:p>
        </w:tc>
        <w:tc>
          <w:tcPr>
            <w:tcW w:w="239" w:type="pct"/>
            <w:shd w:val="clear" w:color="000000" w:fill="FFFFFF"/>
            <w:vAlign w:val="center"/>
          </w:tcPr>
          <w:p w14:paraId="4468BBA4">
            <w:pPr>
              <w:jc w:val="center"/>
              <w:rPr>
                <w:rFonts w:eastAsia="宋体" w:cs="Times New Roman"/>
                <w:kern w:val="0"/>
                <w:szCs w:val="21"/>
              </w:rPr>
            </w:pPr>
            <w:r>
              <w:rPr>
                <w:rFonts w:eastAsia="宋体" w:cs="Times New Roman"/>
                <w:kern w:val="0"/>
                <w:sz w:val="20"/>
                <w:szCs w:val="20"/>
              </w:rPr>
              <w:t>续建</w:t>
            </w:r>
          </w:p>
        </w:tc>
        <w:tc>
          <w:tcPr>
            <w:tcW w:w="2288" w:type="pct"/>
            <w:shd w:val="clear" w:color="000000" w:fill="FFFFFF"/>
            <w:vAlign w:val="center"/>
          </w:tcPr>
          <w:p w14:paraId="00F35DD8">
            <w:pPr>
              <w:jc w:val="center"/>
              <w:rPr>
                <w:rFonts w:eastAsia="宋体" w:cs="Times New Roman"/>
                <w:kern w:val="0"/>
                <w:szCs w:val="21"/>
              </w:rPr>
            </w:pPr>
            <w:r>
              <w:rPr>
                <w:rFonts w:eastAsia="宋体" w:cs="Times New Roman"/>
                <w:kern w:val="0"/>
                <w:szCs w:val="21"/>
              </w:rPr>
              <w:t>实施恢复河道、河道拓展、清淤疏浚等工程</w:t>
            </w:r>
          </w:p>
        </w:tc>
        <w:tc>
          <w:tcPr>
            <w:tcW w:w="506" w:type="pct"/>
            <w:vAlign w:val="center"/>
          </w:tcPr>
          <w:p w14:paraId="1363E417">
            <w:pPr>
              <w:jc w:val="center"/>
              <w:rPr>
                <w:rFonts w:eastAsia="宋体" w:cs="Times New Roman"/>
                <w:kern w:val="0"/>
                <w:szCs w:val="21"/>
                <w:highlight w:val="yellow"/>
              </w:rPr>
            </w:pPr>
            <w:r>
              <w:rPr>
                <w:rFonts w:eastAsia="宋体" w:cs="Times New Roman"/>
                <w:kern w:val="0"/>
                <w:szCs w:val="21"/>
              </w:rPr>
              <w:t>2022~2025</w:t>
            </w:r>
          </w:p>
        </w:tc>
        <w:tc>
          <w:tcPr>
            <w:tcW w:w="506" w:type="pct"/>
            <w:vAlign w:val="center"/>
          </w:tcPr>
          <w:p w14:paraId="7A31F7CE">
            <w:pPr>
              <w:jc w:val="center"/>
              <w:rPr>
                <w:rFonts w:eastAsia="宋体" w:cs="Times New Roman"/>
                <w:kern w:val="0"/>
                <w:szCs w:val="21"/>
              </w:rPr>
            </w:pPr>
            <w:r>
              <w:rPr>
                <w:rFonts w:eastAsia="宋体" w:cs="Times New Roman"/>
                <w:kern w:val="0"/>
                <w:szCs w:val="21"/>
              </w:rPr>
              <w:t>康沙镇</w:t>
            </w:r>
          </w:p>
        </w:tc>
        <w:tc>
          <w:tcPr>
            <w:tcW w:w="406" w:type="pct"/>
            <w:noWrap/>
            <w:vAlign w:val="center"/>
          </w:tcPr>
          <w:p w14:paraId="69FCA10B">
            <w:pPr>
              <w:jc w:val="center"/>
              <w:rPr>
                <w:rFonts w:eastAsia="宋体" w:cs="Times New Roman"/>
                <w:kern w:val="0"/>
                <w:szCs w:val="21"/>
              </w:rPr>
            </w:pPr>
            <w:r>
              <w:rPr>
                <w:rFonts w:eastAsia="宋体" w:cs="Times New Roman"/>
                <w:kern w:val="0"/>
                <w:szCs w:val="21"/>
              </w:rPr>
              <w:t>3500</w:t>
            </w:r>
          </w:p>
        </w:tc>
        <w:tc>
          <w:tcPr>
            <w:tcW w:w="395" w:type="pct"/>
            <w:vAlign w:val="center"/>
          </w:tcPr>
          <w:p w14:paraId="1BBB0754">
            <w:pPr>
              <w:jc w:val="center"/>
              <w:rPr>
                <w:rFonts w:eastAsia="宋体" w:cs="Times New Roman"/>
                <w:kern w:val="0"/>
                <w:szCs w:val="21"/>
              </w:rPr>
            </w:pPr>
            <w:r>
              <w:rPr>
                <w:rFonts w:eastAsia="宋体" w:cs="Times New Roman"/>
                <w:kern w:val="0"/>
                <w:szCs w:val="21"/>
              </w:rPr>
              <w:t>县水利局</w:t>
            </w:r>
          </w:p>
        </w:tc>
      </w:tr>
      <w:tr w14:paraId="18805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85" w:type="pct"/>
            <w:gridSpan w:val="5"/>
            <w:vAlign w:val="center"/>
          </w:tcPr>
          <w:p w14:paraId="487AF797">
            <w:pPr>
              <w:snapToGrid w:val="0"/>
              <w:jc w:val="center"/>
              <w:rPr>
                <w:rFonts w:eastAsia="宋体" w:cs="Times New Roman"/>
                <w:kern w:val="0"/>
                <w:szCs w:val="21"/>
                <w:highlight w:val="yellow"/>
              </w:rPr>
            </w:pPr>
            <w:r>
              <w:rPr>
                <w:rFonts w:eastAsia="宋体" w:cs="Times New Roman"/>
                <w:b/>
                <w:bCs/>
                <w:kern w:val="0"/>
                <w:szCs w:val="21"/>
              </w:rPr>
              <w:t>合计</w:t>
            </w:r>
          </w:p>
        </w:tc>
        <w:tc>
          <w:tcPr>
            <w:tcW w:w="506" w:type="pct"/>
            <w:vAlign w:val="center"/>
          </w:tcPr>
          <w:p w14:paraId="3079383E">
            <w:pPr>
              <w:snapToGrid w:val="0"/>
              <w:jc w:val="center"/>
              <w:rPr>
                <w:rFonts w:eastAsia="宋体" w:cs="Times New Roman"/>
                <w:kern w:val="0"/>
                <w:szCs w:val="21"/>
                <w:highlight w:val="yellow"/>
              </w:rPr>
            </w:pPr>
          </w:p>
        </w:tc>
        <w:tc>
          <w:tcPr>
            <w:tcW w:w="506" w:type="pct"/>
            <w:vAlign w:val="center"/>
          </w:tcPr>
          <w:p w14:paraId="356F7AF1">
            <w:pPr>
              <w:snapToGrid w:val="0"/>
              <w:jc w:val="center"/>
              <w:rPr>
                <w:rFonts w:eastAsia="宋体" w:cs="Times New Roman"/>
                <w:kern w:val="0"/>
                <w:szCs w:val="21"/>
                <w:highlight w:val="yellow"/>
              </w:rPr>
            </w:pPr>
          </w:p>
        </w:tc>
        <w:tc>
          <w:tcPr>
            <w:tcW w:w="406" w:type="pct"/>
            <w:noWrap/>
            <w:vAlign w:val="center"/>
          </w:tcPr>
          <w:p w14:paraId="10CC2FEB">
            <w:pPr>
              <w:snapToGrid w:val="0"/>
              <w:jc w:val="center"/>
              <w:rPr>
                <w:rFonts w:eastAsia="宋体" w:cs="Times New Roman"/>
                <w:kern w:val="0"/>
                <w:szCs w:val="21"/>
                <w:highlight w:val="yellow"/>
              </w:rPr>
            </w:pPr>
            <w:r>
              <w:rPr>
                <w:rFonts w:eastAsia="宋体" w:cs="Times New Roman"/>
                <w:kern w:val="0"/>
                <w:szCs w:val="21"/>
              </w:rPr>
              <w:t>51949</w:t>
            </w:r>
          </w:p>
        </w:tc>
        <w:tc>
          <w:tcPr>
            <w:tcW w:w="395" w:type="pct"/>
            <w:vAlign w:val="center"/>
          </w:tcPr>
          <w:p w14:paraId="0456FEFA">
            <w:pPr>
              <w:snapToGrid w:val="0"/>
              <w:jc w:val="center"/>
              <w:rPr>
                <w:rFonts w:eastAsia="宋体" w:cs="Times New Roman"/>
                <w:kern w:val="0"/>
                <w:szCs w:val="21"/>
                <w:highlight w:val="yellow"/>
              </w:rPr>
            </w:pPr>
          </w:p>
        </w:tc>
      </w:tr>
    </w:tbl>
    <w:p w14:paraId="5456C6E0">
      <w:pPr>
        <w:pStyle w:val="4"/>
        <w:spacing w:line="240" w:lineRule="auto"/>
        <w:ind w:firstLine="422"/>
        <w:rPr>
          <w:sz w:val="21"/>
          <w:szCs w:val="21"/>
          <w:highlight w:val="yellow"/>
        </w:rPr>
        <w:sectPr>
          <w:pgSz w:w="16838" w:h="11906" w:orient="landscape"/>
          <w:pgMar w:top="1803" w:right="1440" w:bottom="1803" w:left="1440" w:header="851" w:footer="992" w:gutter="0"/>
          <w:cols w:space="720" w:num="1"/>
          <w:docGrid w:type="lines" w:linePitch="319" w:charSpace="0"/>
        </w:sectPr>
      </w:pPr>
    </w:p>
    <w:p w14:paraId="79856BE0">
      <w:pPr>
        <w:spacing w:before="240" w:beforeLines="100" w:line="579" w:lineRule="auto"/>
        <w:jc w:val="left"/>
        <w:outlineLvl w:val="0"/>
        <w:rPr>
          <w:rFonts w:eastAsia="黑体" w:cs="Times New Roman"/>
          <w:b/>
          <w:bCs/>
          <w:kern w:val="44"/>
          <w:sz w:val="32"/>
          <w:szCs w:val="40"/>
        </w:rPr>
      </w:pPr>
      <w:bookmarkStart w:id="303" w:name="_Toc115"/>
      <w:bookmarkStart w:id="304" w:name="_Toc105576386"/>
      <w:r>
        <w:rPr>
          <w:rFonts w:eastAsia="黑体" w:cs="Times New Roman"/>
          <w:b/>
          <w:bCs/>
          <w:kern w:val="44"/>
          <w:sz w:val="32"/>
          <w:szCs w:val="40"/>
        </w:rPr>
        <w:t>附表三</w:t>
      </w:r>
      <w:r>
        <w:rPr>
          <w:rFonts w:hint="eastAsia" w:eastAsia="黑体" w:cs="Times New Roman"/>
          <w:b/>
          <w:bCs/>
          <w:kern w:val="44"/>
          <w:sz w:val="32"/>
          <w:szCs w:val="40"/>
        </w:rPr>
        <w:t xml:space="preserve">  </w:t>
      </w:r>
      <w:r>
        <w:rPr>
          <w:rFonts w:eastAsia="黑体" w:cs="Times New Roman"/>
          <w:b/>
          <w:bCs/>
          <w:kern w:val="44"/>
          <w:sz w:val="32"/>
          <w:szCs w:val="40"/>
        </w:rPr>
        <w:t>生态经济体系重点项目</w:t>
      </w:r>
      <w:bookmarkEnd w:id="303"/>
      <w:bookmarkEnd w:id="304"/>
    </w:p>
    <w:tbl>
      <w:tblPr>
        <w:tblStyle w:val="42"/>
        <w:tblW w:w="505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086"/>
        <w:gridCol w:w="682"/>
        <w:gridCol w:w="6386"/>
        <w:gridCol w:w="1289"/>
        <w:gridCol w:w="1501"/>
        <w:gridCol w:w="1140"/>
        <w:gridCol w:w="1095"/>
      </w:tblGrid>
      <w:tr w14:paraId="3E9A9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blHeader/>
          <w:jc w:val="center"/>
        </w:trPr>
        <w:tc>
          <w:tcPr>
            <w:tcW w:w="259" w:type="pct"/>
            <w:shd w:val="clear" w:color="000000" w:fill="FFFFFF"/>
            <w:vAlign w:val="center"/>
          </w:tcPr>
          <w:p w14:paraId="0E887A65">
            <w:pPr>
              <w:snapToGrid w:val="0"/>
              <w:rPr>
                <w:rFonts w:cs="Times New Roman" w:eastAsiaTheme="majorEastAsia"/>
                <w:b/>
                <w:bCs/>
                <w:kern w:val="0"/>
                <w:szCs w:val="21"/>
              </w:rPr>
            </w:pPr>
            <w:r>
              <w:rPr>
                <w:rFonts w:cs="Times New Roman" w:eastAsiaTheme="majorEastAsia"/>
                <w:b/>
                <w:bCs/>
                <w:kern w:val="0"/>
                <w:szCs w:val="21"/>
              </w:rPr>
              <w:t>序号</w:t>
            </w:r>
          </w:p>
        </w:tc>
        <w:tc>
          <w:tcPr>
            <w:tcW w:w="697" w:type="pct"/>
            <w:shd w:val="clear" w:color="000000" w:fill="FFFFFF"/>
            <w:vAlign w:val="center"/>
          </w:tcPr>
          <w:p w14:paraId="24CC3EA6">
            <w:pPr>
              <w:snapToGrid w:val="0"/>
              <w:jc w:val="center"/>
              <w:rPr>
                <w:rFonts w:cs="Times New Roman" w:eastAsiaTheme="majorEastAsia"/>
                <w:b/>
                <w:bCs/>
                <w:kern w:val="0"/>
                <w:szCs w:val="21"/>
              </w:rPr>
            </w:pPr>
            <w:r>
              <w:rPr>
                <w:rFonts w:cs="Times New Roman" w:eastAsiaTheme="majorEastAsia"/>
                <w:b/>
                <w:bCs/>
                <w:kern w:val="0"/>
                <w:szCs w:val="21"/>
              </w:rPr>
              <w:t>项目名称</w:t>
            </w:r>
          </w:p>
        </w:tc>
        <w:tc>
          <w:tcPr>
            <w:tcW w:w="228" w:type="pct"/>
            <w:shd w:val="clear" w:color="000000" w:fill="FFFFFF"/>
            <w:vAlign w:val="center"/>
          </w:tcPr>
          <w:p w14:paraId="4A8C247F">
            <w:pPr>
              <w:snapToGrid w:val="0"/>
              <w:jc w:val="center"/>
              <w:rPr>
                <w:rFonts w:cs="Times New Roman" w:eastAsiaTheme="majorEastAsia"/>
                <w:b/>
                <w:bCs/>
                <w:kern w:val="0"/>
                <w:szCs w:val="21"/>
              </w:rPr>
            </w:pPr>
            <w:r>
              <w:rPr>
                <w:rFonts w:cs="Times New Roman" w:eastAsiaTheme="majorEastAsia"/>
                <w:b/>
                <w:bCs/>
                <w:kern w:val="0"/>
                <w:szCs w:val="21"/>
              </w:rPr>
              <w:t>建设</w:t>
            </w:r>
          </w:p>
          <w:p w14:paraId="7D60ECD5">
            <w:pPr>
              <w:snapToGrid w:val="0"/>
              <w:jc w:val="center"/>
              <w:rPr>
                <w:rFonts w:cs="Times New Roman" w:eastAsiaTheme="majorEastAsia"/>
                <w:b/>
                <w:bCs/>
                <w:kern w:val="0"/>
                <w:szCs w:val="21"/>
              </w:rPr>
            </w:pPr>
            <w:r>
              <w:rPr>
                <w:rFonts w:cs="Times New Roman" w:eastAsiaTheme="majorEastAsia"/>
                <w:b/>
                <w:bCs/>
                <w:kern w:val="0"/>
                <w:szCs w:val="21"/>
              </w:rPr>
              <w:t>性质</w:t>
            </w:r>
          </w:p>
        </w:tc>
        <w:tc>
          <w:tcPr>
            <w:tcW w:w="2132" w:type="pct"/>
            <w:shd w:val="clear" w:color="000000" w:fill="FFFFFF"/>
            <w:vAlign w:val="center"/>
          </w:tcPr>
          <w:p w14:paraId="0A6A9946">
            <w:pPr>
              <w:snapToGrid w:val="0"/>
              <w:jc w:val="center"/>
              <w:rPr>
                <w:rFonts w:cs="Times New Roman" w:eastAsiaTheme="majorEastAsia"/>
                <w:b/>
                <w:bCs/>
                <w:kern w:val="0"/>
                <w:szCs w:val="21"/>
              </w:rPr>
            </w:pPr>
            <w:r>
              <w:rPr>
                <w:rFonts w:cs="Times New Roman" w:eastAsiaTheme="majorEastAsia"/>
                <w:b/>
                <w:bCs/>
                <w:kern w:val="0"/>
                <w:szCs w:val="21"/>
              </w:rPr>
              <w:t>建设内容和规模</w:t>
            </w:r>
          </w:p>
        </w:tc>
        <w:tc>
          <w:tcPr>
            <w:tcW w:w="431" w:type="pct"/>
            <w:shd w:val="clear" w:color="000000" w:fill="FFFFFF"/>
            <w:vAlign w:val="center"/>
          </w:tcPr>
          <w:p w14:paraId="3686C981">
            <w:pPr>
              <w:snapToGrid w:val="0"/>
              <w:jc w:val="center"/>
              <w:rPr>
                <w:rFonts w:cs="Times New Roman" w:eastAsiaTheme="majorEastAsia"/>
                <w:b/>
                <w:bCs/>
                <w:kern w:val="0"/>
                <w:szCs w:val="21"/>
              </w:rPr>
            </w:pPr>
            <w:r>
              <w:rPr>
                <w:rFonts w:cs="Times New Roman" w:eastAsiaTheme="majorEastAsia"/>
                <w:b/>
                <w:bCs/>
                <w:kern w:val="0"/>
                <w:szCs w:val="21"/>
              </w:rPr>
              <w:t>建设期限</w:t>
            </w:r>
          </w:p>
        </w:tc>
        <w:tc>
          <w:tcPr>
            <w:tcW w:w="502" w:type="pct"/>
            <w:shd w:val="clear" w:color="000000" w:fill="FFFFFF"/>
            <w:vAlign w:val="center"/>
          </w:tcPr>
          <w:p w14:paraId="6BED20BE">
            <w:pPr>
              <w:snapToGrid w:val="0"/>
              <w:jc w:val="center"/>
              <w:rPr>
                <w:rFonts w:cs="Times New Roman" w:eastAsiaTheme="majorEastAsia"/>
                <w:b/>
                <w:bCs/>
                <w:kern w:val="0"/>
                <w:szCs w:val="21"/>
              </w:rPr>
            </w:pPr>
            <w:r>
              <w:rPr>
                <w:rFonts w:cs="Times New Roman" w:eastAsiaTheme="majorEastAsia"/>
                <w:b/>
                <w:bCs/>
                <w:kern w:val="0"/>
                <w:szCs w:val="21"/>
              </w:rPr>
              <w:t>建设地点</w:t>
            </w:r>
          </w:p>
        </w:tc>
        <w:tc>
          <w:tcPr>
            <w:tcW w:w="381" w:type="pct"/>
            <w:shd w:val="clear" w:color="000000" w:fill="FFFFFF"/>
            <w:vAlign w:val="center"/>
          </w:tcPr>
          <w:p w14:paraId="030E12C9">
            <w:pPr>
              <w:snapToGrid w:val="0"/>
              <w:jc w:val="center"/>
              <w:rPr>
                <w:rFonts w:cs="Times New Roman" w:eastAsiaTheme="majorEastAsia"/>
                <w:b/>
                <w:bCs/>
                <w:kern w:val="0"/>
                <w:szCs w:val="21"/>
              </w:rPr>
            </w:pPr>
            <w:r>
              <w:rPr>
                <w:rFonts w:cs="Times New Roman" w:eastAsiaTheme="majorEastAsia"/>
                <w:b/>
                <w:bCs/>
                <w:kern w:val="0"/>
                <w:szCs w:val="21"/>
              </w:rPr>
              <w:t>总投资</w:t>
            </w:r>
          </w:p>
          <w:p w14:paraId="4DF362F0">
            <w:pPr>
              <w:snapToGrid w:val="0"/>
              <w:jc w:val="center"/>
              <w:rPr>
                <w:rFonts w:cs="Times New Roman" w:eastAsiaTheme="majorEastAsia"/>
                <w:b/>
                <w:bCs/>
                <w:kern w:val="0"/>
                <w:szCs w:val="21"/>
              </w:rPr>
            </w:pPr>
            <w:r>
              <w:rPr>
                <w:rFonts w:cs="Times New Roman" w:eastAsiaTheme="majorEastAsia"/>
                <w:b/>
                <w:bCs/>
                <w:kern w:val="0"/>
                <w:szCs w:val="21"/>
              </w:rPr>
              <w:t>（万元）</w:t>
            </w:r>
          </w:p>
        </w:tc>
        <w:tc>
          <w:tcPr>
            <w:tcW w:w="366" w:type="pct"/>
            <w:shd w:val="clear" w:color="000000" w:fill="FFFFFF"/>
            <w:vAlign w:val="center"/>
          </w:tcPr>
          <w:p w14:paraId="0D277AB1">
            <w:pPr>
              <w:snapToGrid w:val="0"/>
              <w:jc w:val="center"/>
              <w:rPr>
                <w:rFonts w:cs="Times New Roman" w:eastAsiaTheme="majorEastAsia"/>
                <w:b/>
                <w:bCs/>
                <w:kern w:val="0"/>
                <w:szCs w:val="21"/>
              </w:rPr>
            </w:pPr>
            <w:r>
              <w:rPr>
                <w:rFonts w:cs="Times New Roman" w:eastAsiaTheme="majorEastAsia"/>
                <w:b/>
                <w:bCs/>
                <w:kern w:val="0"/>
                <w:szCs w:val="21"/>
              </w:rPr>
              <w:t>责任单位</w:t>
            </w:r>
          </w:p>
        </w:tc>
      </w:tr>
      <w:tr w14:paraId="3B0FB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3" w:hRule="atLeast"/>
          <w:jc w:val="center"/>
        </w:trPr>
        <w:tc>
          <w:tcPr>
            <w:tcW w:w="259" w:type="pct"/>
            <w:shd w:val="clear" w:color="auto" w:fill="auto"/>
            <w:vAlign w:val="center"/>
          </w:tcPr>
          <w:p w14:paraId="4BF3ABD1">
            <w:pPr>
              <w:jc w:val="center"/>
              <w:textAlignment w:val="center"/>
              <w:rPr>
                <w:rFonts w:ascii="宋体" w:hAnsi="宋体" w:eastAsia="宋体"/>
                <w:color w:val="000000"/>
                <w:kern w:val="0"/>
                <w:sz w:val="22"/>
                <w:lang w:bidi="ar"/>
              </w:rPr>
            </w:pPr>
            <w:r>
              <w:rPr>
                <w:rFonts w:hint="eastAsia" w:ascii="宋体" w:hAnsi="宋体" w:eastAsia="宋体"/>
                <w:color w:val="000000"/>
                <w:kern w:val="0"/>
                <w:sz w:val="22"/>
                <w:lang w:bidi="ar"/>
              </w:rPr>
              <w:t>1</w:t>
            </w:r>
          </w:p>
        </w:tc>
        <w:tc>
          <w:tcPr>
            <w:tcW w:w="697" w:type="pct"/>
            <w:shd w:val="clear" w:color="000000" w:fill="FFFFFF"/>
            <w:vAlign w:val="center"/>
          </w:tcPr>
          <w:p w14:paraId="5E13418C">
            <w:pPr>
              <w:jc w:val="center"/>
              <w:rPr>
                <w:rFonts w:cs="Times New Roman" w:eastAsiaTheme="majorEastAsia"/>
                <w:kern w:val="0"/>
                <w:szCs w:val="21"/>
              </w:rPr>
            </w:pPr>
            <w:r>
              <w:rPr>
                <w:rFonts w:cs="Times New Roman" w:eastAsiaTheme="majorEastAsia"/>
                <w:kern w:val="0"/>
                <w:szCs w:val="21"/>
              </w:rPr>
              <w:t>洛隆县孜托灌区续建配套工程</w:t>
            </w:r>
          </w:p>
        </w:tc>
        <w:tc>
          <w:tcPr>
            <w:tcW w:w="228" w:type="pct"/>
            <w:shd w:val="clear" w:color="000000" w:fill="FFFFFF"/>
            <w:vAlign w:val="center"/>
          </w:tcPr>
          <w:p w14:paraId="23C682C9">
            <w:pPr>
              <w:jc w:val="center"/>
              <w:rPr>
                <w:rFonts w:cs="Times New Roman" w:eastAsiaTheme="majorEastAsia"/>
                <w:kern w:val="0"/>
                <w:szCs w:val="21"/>
              </w:rPr>
            </w:pPr>
            <w:r>
              <w:rPr>
                <w:rFonts w:cs="Times New Roman" w:eastAsiaTheme="majorEastAsia"/>
                <w:kern w:val="0"/>
                <w:szCs w:val="21"/>
              </w:rPr>
              <w:t>续建</w:t>
            </w:r>
          </w:p>
        </w:tc>
        <w:tc>
          <w:tcPr>
            <w:tcW w:w="2132" w:type="pct"/>
            <w:shd w:val="clear" w:color="000000" w:fill="FFFFFF"/>
            <w:vAlign w:val="center"/>
          </w:tcPr>
          <w:p w14:paraId="11941437">
            <w:pPr>
              <w:jc w:val="center"/>
              <w:rPr>
                <w:rFonts w:cs="Times New Roman" w:eastAsiaTheme="majorEastAsia"/>
                <w:kern w:val="0"/>
                <w:szCs w:val="21"/>
              </w:rPr>
            </w:pPr>
            <w:r>
              <w:rPr>
                <w:rFonts w:cs="Times New Roman" w:eastAsiaTheme="majorEastAsia"/>
                <w:kern w:val="0"/>
                <w:szCs w:val="21"/>
              </w:rPr>
              <w:t>孜托灌区续建配套工程新建东干渠5条，全长28.633km。西干渠7条，全长44.098km，支渠11条，全长12.353km。倒虹吸5座，全长1368m。渡槽43座。取水坝2座，新建取水口3座。设计灌溉面积24500亩其中，改善23000亩，新增1500亩。</w:t>
            </w:r>
          </w:p>
        </w:tc>
        <w:tc>
          <w:tcPr>
            <w:tcW w:w="431" w:type="pct"/>
            <w:vAlign w:val="center"/>
          </w:tcPr>
          <w:p w14:paraId="78D8487C">
            <w:pPr>
              <w:jc w:val="center"/>
              <w:rPr>
                <w:rFonts w:cs="Times New Roman" w:eastAsiaTheme="majorEastAsia"/>
                <w:kern w:val="0"/>
                <w:szCs w:val="21"/>
              </w:rPr>
            </w:pPr>
            <w:r>
              <w:rPr>
                <w:rFonts w:cs="Times New Roman" w:eastAsiaTheme="majorEastAsia"/>
                <w:kern w:val="0"/>
                <w:szCs w:val="21"/>
              </w:rPr>
              <w:t>2022~2025</w:t>
            </w:r>
          </w:p>
        </w:tc>
        <w:tc>
          <w:tcPr>
            <w:tcW w:w="502" w:type="pct"/>
            <w:vAlign w:val="center"/>
          </w:tcPr>
          <w:p w14:paraId="1C61BA54">
            <w:pPr>
              <w:snapToGrid w:val="0"/>
              <w:jc w:val="center"/>
              <w:rPr>
                <w:rFonts w:cs="Times New Roman" w:eastAsiaTheme="majorEastAsia"/>
                <w:kern w:val="0"/>
                <w:szCs w:val="21"/>
              </w:rPr>
            </w:pPr>
            <w:r>
              <w:rPr>
                <w:rFonts w:cs="Times New Roman" w:eastAsiaTheme="majorEastAsia"/>
                <w:kern w:val="0"/>
                <w:szCs w:val="21"/>
              </w:rPr>
              <w:t>孜托镇</w:t>
            </w:r>
          </w:p>
        </w:tc>
        <w:tc>
          <w:tcPr>
            <w:tcW w:w="381" w:type="pct"/>
            <w:noWrap/>
            <w:vAlign w:val="center"/>
          </w:tcPr>
          <w:p w14:paraId="6C35F6F7">
            <w:pPr>
              <w:jc w:val="center"/>
              <w:rPr>
                <w:rFonts w:cs="Times New Roman" w:eastAsiaTheme="majorEastAsia"/>
                <w:kern w:val="0"/>
                <w:szCs w:val="21"/>
              </w:rPr>
            </w:pPr>
            <w:r>
              <w:rPr>
                <w:rFonts w:cs="Times New Roman" w:eastAsiaTheme="majorEastAsia"/>
                <w:kern w:val="0"/>
                <w:szCs w:val="21"/>
              </w:rPr>
              <w:t>11219</w:t>
            </w:r>
          </w:p>
        </w:tc>
        <w:tc>
          <w:tcPr>
            <w:tcW w:w="366" w:type="pct"/>
            <w:vAlign w:val="center"/>
          </w:tcPr>
          <w:p w14:paraId="6D504263">
            <w:pPr>
              <w:jc w:val="center"/>
              <w:rPr>
                <w:rFonts w:cs="Times New Roman" w:eastAsiaTheme="majorEastAsia"/>
                <w:kern w:val="0"/>
                <w:szCs w:val="21"/>
              </w:rPr>
            </w:pPr>
            <w:r>
              <w:rPr>
                <w:rFonts w:cs="Times New Roman" w:eastAsiaTheme="majorEastAsia"/>
                <w:kern w:val="0"/>
                <w:szCs w:val="21"/>
              </w:rPr>
              <w:t>县水利局</w:t>
            </w:r>
          </w:p>
        </w:tc>
      </w:tr>
      <w:tr w14:paraId="494F4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259" w:type="pct"/>
            <w:shd w:val="clear" w:color="auto" w:fill="auto"/>
            <w:vAlign w:val="center"/>
          </w:tcPr>
          <w:p w14:paraId="64C9805F">
            <w:pPr>
              <w:jc w:val="center"/>
              <w:textAlignment w:val="center"/>
              <w:rPr>
                <w:rFonts w:ascii="宋体" w:hAnsi="宋体" w:eastAsia="宋体"/>
                <w:color w:val="000000"/>
                <w:kern w:val="0"/>
                <w:sz w:val="22"/>
                <w:lang w:bidi="ar"/>
              </w:rPr>
            </w:pPr>
            <w:r>
              <w:rPr>
                <w:rFonts w:hint="eastAsia" w:ascii="宋体" w:hAnsi="宋体" w:eastAsia="宋体"/>
                <w:color w:val="000000"/>
                <w:kern w:val="0"/>
                <w:sz w:val="22"/>
                <w:lang w:bidi="ar"/>
              </w:rPr>
              <w:t>2</w:t>
            </w:r>
          </w:p>
        </w:tc>
        <w:tc>
          <w:tcPr>
            <w:tcW w:w="697" w:type="pct"/>
            <w:shd w:val="clear" w:color="000000" w:fill="FFFFFF"/>
            <w:vAlign w:val="center"/>
          </w:tcPr>
          <w:p w14:paraId="214EAB8F">
            <w:pPr>
              <w:jc w:val="center"/>
              <w:rPr>
                <w:rFonts w:cs="Times New Roman" w:eastAsiaTheme="majorEastAsia"/>
                <w:kern w:val="0"/>
                <w:szCs w:val="21"/>
              </w:rPr>
            </w:pPr>
            <w:r>
              <w:rPr>
                <w:rFonts w:cs="Times New Roman" w:eastAsiaTheme="majorEastAsia"/>
                <w:kern w:val="0"/>
                <w:szCs w:val="21"/>
              </w:rPr>
              <w:t>洛隆县俄西灌区</w:t>
            </w:r>
          </w:p>
          <w:p w14:paraId="621847C4">
            <w:pPr>
              <w:jc w:val="center"/>
              <w:rPr>
                <w:rFonts w:cs="Times New Roman" w:eastAsiaTheme="majorEastAsia"/>
                <w:kern w:val="0"/>
                <w:szCs w:val="21"/>
              </w:rPr>
            </w:pPr>
            <w:r>
              <w:rPr>
                <w:rFonts w:cs="Times New Roman" w:eastAsiaTheme="majorEastAsia"/>
                <w:kern w:val="0"/>
                <w:szCs w:val="21"/>
              </w:rPr>
              <w:t>工程</w:t>
            </w:r>
          </w:p>
        </w:tc>
        <w:tc>
          <w:tcPr>
            <w:tcW w:w="228" w:type="pct"/>
            <w:shd w:val="clear" w:color="000000" w:fill="FFFFFF"/>
            <w:vAlign w:val="center"/>
          </w:tcPr>
          <w:p w14:paraId="58861A98">
            <w:pPr>
              <w:jc w:val="center"/>
              <w:rPr>
                <w:rFonts w:cs="Times New Roman" w:eastAsiaTheme="majorEastAsia"/>
                <w:kern w:val="0"/>
                <w:szCs w:val="21"/>
              </w:rPr>
            </w:pPr>
            <w:r>
              <w:rPr>
                <w:rFonts w:cs="Times New Roman" w:eastAsiaTheme="majorEastAsia"/>
                <w:kern w:val="0"/>
                <w:szCs w:val="21"/>
              </w:rPr>
              <w:t>续建</w:t>
            </w:r>
          </w:p>
        </w:tc>
        <w:tc>
          <w:tcPr>
            <w:tcW w:w="2132" w:type="pct"/>
            <w:shd w:val="clear" w:color="000000" w:fill="FFFFFF"/>
            <w:vAlign w:val="center"/>
          </w:tcPr>
          <w:p w14:paraId="2BB724BE">
            <w:pPr>
              <w:jc w:val="center"/>
              <w:rPr>
                <w:rFonts w:cs="Times New Roman" w:eastAsiaTheme="majorEastAsia"/>
                <w:kern w:val="0"/>
                <w:szCs w:val="21"/>
              </w:rPr>
            </w:pPr>
            <w:r>
              <w:rPr>
                <w:rFonts w:cs="Times New Roman" w:eastAsiaTheme="majorEastAsia"/>
                <w:kern w:val="0"/>
                <w:szCs w:val="21"/>
              </w:rPr>
              <w:t>俄西灌区全长74．503公里，新建取水枢组6座，干渠10条，支渠8条，斗渠10条，设计灌溉面积为18000亩。</w:t>
            </w:r>
          </w:p>
        </w:tc>
        <w:tc>
          <w:tcPr>
            <w:tcW w:w="431" w:type="pct"/>
            <w:vAlign w:val="center"/>
          </w:tcPr>
          <w:p w14:paraId="2C09599A">
            <w:pPr>
              <w:jc w:val="center"/>
              <w:rPr>
                <w:rFonts w:cs="Times New Roman" w:eastAsiaTheme="majorEastAsia"/>
                <w:kern w:val="0"/>
                <w:szCs w:val="21"/>
              </w:rPr>
            </w:pPr>
            <w:r>
              <w:rPr>
                <w:rFonts w:cs="Times New Roman" w:eastAsiaTheme="majorEastAsia"/>
                <w:kern w:val="0"/>
                <w:szCs w:val="21"/>
              </w:rPr>
              <w:t>2022~2025</w:t>
            </w:r>
          </w:p>
        </w:tc>
        <w:tc>
          <w:tcPr>
            <w:tcW w:w="502" w:type="pct"/>
            <w:vAlign w:val="center"/>
          </w:tcPr>
          <w:p w14:paraId="7DBF34D8">
            <w:pPr>
              <w:snapToGrid w:val="0"/>
              <w:jc w:val="center"/>
              <w:rPr>
                <w:rFonts w:cs="Times New Roman" w:eastAsiaTheme="majorEastAsia"/>
                <w:kern w:val="0"/>
                <w:szCs w:val="21"/>
              </w:rPr>
            </w:pPr>
            <w:r>
              <w:rPr>
                <w:rFonts w:cs="Times New Roman" w:eastAsiaTheme="majorEastAsia"/>
                <w:kern w:val="0"/>
                <w:szCs w:val="21"/>
              </w:rPr>
              <w:t>俄西乡</w:t>
            </w:r>
          </w:p>
        </w:tc>
        <w:tc>
          <w:tcPr>
            <w:tcW w:w="381" w:type="pct"/>
            <w:noWrap/>
            <w:vAlign w:val="center"/>
          </w:tcPr>
          <w:p w14:paraId="2B5B42BF">
            <w:pPr>
              <w:jc w:val="center"/>
              <w:rPr>
                <w:rFonts w:cs="Times New Roman" w:eastAsiaTheme="majorEastAsia"/>
                <w:kern w:val="0"/>
                <w:szCs w:val="21"/>
              </w:rPr>
            </w:pPr>
            <w:r>
              <w:rPr>
                <w:rFonts w:cs="Times New Roman" w:eastAsiaTheme="majorEastAsia"/>
                <w:kern w:val="0"/>
                <w:szCs w:val="21"/>
              </w:rPr>
              <w:t>19450</w:t>
            </w:r>
          </w:p>
        </w:tc>
        <w:tc>
          <w:tcPr>
            <w:tcW w:w="366" w:type="pct"/>
            <w:vAlign w:val="center"/>
          </w:tcPr>
          <w:p w14:paraId="671C7206">
            <w:pPr>
              <w:jc w:val="center"/>
              <w:rPr>
                <w:rFonts w:cs="Times New Roman" w:eastAsiaTheme="majorEastAsia"/>
                <w:kern w:val="0"/>
                <w:szCs w:val="21"/>
              </w:rPr>
            </w:pPr>
            <w:r>
              <w:rPr>
                <w:rFonts w:cs="Times New Roman" w:eastAsiaTheme="majorEastAsia"/>
                <w:kern w:val="0"/>
                <w:szCs w:val="21"/>
              </w:rPr>
              <w:t>县水利局</w:t>
            </w:r>
          </w:p>
        </w:tc>
      </w:tr>
      <w:tr w14:paraId="688B4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259" w:type="pct"/>
            <w:shd w:val="clear" w:color="auto" w:fill="auto"/>
            <w:vAlign w:val="center"/>
          </w:tcPr>
          <w:p w14:paraId="021C392B">
            <w:pPr>
              <w:jc w:val="center"/>
              <w:textAlignment w:val="center"/>
              <w:rPr>
                <w:rFonts w:ascii="宋体" w:hAnsi="宋体" w:eastAsia="宋体"/>
                <w:color w:val="000000"/>
                <w:kern w:val="0"/>
                <w:sz w:val="22"/>
                <w:lang w:bidi="ar"/>
              </w:rPr>
            </w:pPr>
            <w:r>
              <w:rPr>
                <w:rFonts w:hint="eastAsia" w:ascii="宋体" w:hAnsi="宋体" w:eastAsia="宋体"/>
                <w:color w:val="000000"/>
                <w:kern w:val="0"/>
                <w:sz w:val="22"/>
                <w:lang w:bidi="ar"/>
              </w:rPr>
              <w:t>3</w:t>
            </w:r>
          </w:p>
        </w:tc>
        <w:tc>
          <w:tcPr>
            <w:tcW w:w="697" w:type="pct"/>
            <w:shd w:val="clear" w:color="000000" w:fill="FFFFFF"/>
            <w:vAlign w:val="center"/>
          </w:tcPr>
          <w:p w14:paraId="0FC9C87E">
            <w:pPr>
              <w:jc w:val="center"/>
              <w:rPr>
                <w:rFonts w:cs="Times New Roman" w:eastAsiaTheme="majorEastAsia"/>
                <w:kern w:val="0"/>
                <w:szCs w:val="21"/>
              </w:rPr>
            </w:pPr>
            <w:r>
              <w:rPr>
                <w:rFonts w:cs="Times New Roman" w:eastAsiaTheme="majorEastAsia"/>
                <w:kern w:val="0"/>
                <w:szCs w:val="21"/>
              </w:rPr>
              <w:t>昌都市洛隆县康沙灌区工程</w:t>
            </w:r>
          </w:p>
        </w:tc>
        <w:tc>
          <w:tcPr>
            <w:tcW w:w="228" w:type="pct"/>
            <w:shd w:val="clear" w:color="000000" w:fill="FFFFFF"/>
          </w:tcPr>
          <w:p w14:paraId="4B1D4126">
            <w:pPr>
              <w:jc w:val="center"/>
              <w:rPr>
                <w:rFonts w:cs="Times New Roman" w:eastAsiaTheme="majorEastAsia"/>
                <w:kern w:val="0"/>
                <w:szCs w:val="21"/>
              </w:rPr>
            </w:pPr>
            <w:r>
              <w:rPr>
                <w:rFonts w:cs="Times New Roman" w:eastAsiaTheme="majorEastAsia"/>
                <w:kern w:val="0"/>
                <w:szCs w:val="21"/>
              </w:rPr>
              <w:t>续建</w:t>
            </w:r>
          </w:p>
        </w:tc>
        <w:tc>
          <w:tcPr>
            <w:tcW w:w="2132" w:type="pct"/>
            <w:shd w:val="clear" w:color="000000" w:fill="FFFFFF"/>
            <w:vAlign w:val="center"/>
          </w:tcPr>
          <w:p w14:paraId="3C592233">
            <w:pPr>
              <w:jc w:val="center"/>
              <w:rPr>
                <w:rFonts w:cs="Times New Roman" w:eastAsiaTheme="majorEastAsia"/>
                <w:kern w:val="0"/>
                <w:szCs w:val="21"/>
              </w:rPr>
            </w:pPr>
            <w:r>
              <w:rPr>
                <w:rFonts w:cs="Times New Roman" w:eastAsiaTheme="majorEastAsia"/>
                <w:kern w:val="0"/>
                <w:szCs w:val="21"/>
              </w:rPr>
              <w:t>计划新建渠道总长78.7km，设计灌溉面积8300亩，其中：改善灌溉面积为5127亩，新增解决林地面积为3173亩。</w:t>
            </w:r>
          </w:p>
        </w:tc>
        <w:tc>
          <w:tcPr>
            <w:tcW w:w="431" w:type="pct"/>
            <w:vAlign w:val="center"/>
          </w:tcPr>
          <w:p w14:paraId="4281DEBC">
            <w:pPr>
              <w:jc w:val="center"/>
              <w:rPr>
                <w:rFonts w:cs="Times New Roman" w:eastAsiaTheme="majorEastAsia"/>
                <w:kern w:val="0"/>
                <w:szCs w:val="21"/>
              </w:rPr>
            </w:pPr>
            <w:r>
              <w:rPr>
                <w:rFonts w:cs="Times New Roman" w:eastAsiaTheme="majorEastAsia"/>
                <w:kern w:val="0"/>
                <w:szCs w:val="21"/>
              </w:rPr>
              <w:t>2022~2025</w:t>
            </w:r>
          </w:p>
        </w:tc>
        <w:tc>
          <w:tcPr>
            <w:tcW w:w="502" w:type="pct"/>
            <w:vAlign w:val="center"/>
          </w:tcPr>
          <w:p w14:paraId="0B4AB4D5">
            <w:pPr>
              <w:snapToGrid w:val="0"/>
              <w:jc w:val="center"/>
              <w:rPr>
                <w:rFonts w:cs="Times New Roman" w:eastAsiaTheme="majorEastAsia"/>
                <w:kern w:val="0"/>
                <w:szCs w:val="21"/>
              </w:rPr>
            </w:pPr>
            <w:r>
              <w:rPr>
                <w:rFonts w:cs="Times New Roman" w:eastAsiaTheme="majorEastAsia"/>
                <w:kern w:val="0"/>
                <w:szCs w:val="21"/>
              </w:rPr>
              <w:t>康沙镇</w:t>
            </w:r>
          </w:p>
        </w:tc>
        <w:tc>
          <w:tcPr>
            <w:tcW w:w="381" w:type="pct"/>
            <w:noWrap/>
            <w:vAlign w:val="center"/>
          </w:tcPr>
          <w:p w14:paraId="4C07FD62">
            <w:pPr>
              <w:jc w:val="center"/>
              <w:rPr>
                <w:rFonts w:cs="Times New Roman" w:eastAsiaTheme="majorEastAsia"/>
                <w:kern w:val="0"/>
                <w:szCs w:val="21"/>
              </w:rPr>
            </w:pPr>
            <w:r>
              <w:rPr>
                <w:rFonts w:cs="Times New Roman" w:eastAsiaTheme="majorEastAsia"/>
                <w:kern w:val="0"/>
                <w:szCs w:val="21"/>
              </w:rPr>
              <w:t>7860</w:t>
            </w:r>
          </w:p>
        </w:tc>
        <w:tc>
          <w:tcPr>
            <w:tcW w:w="366" w:type="pct"/>
            <w:vAlign w:val="center"/>
          </w:tcPr>
          <w:p w14:paraId="699086AB">
            <w:pPr>
              <w:jc w:val="center"/>
              <w:rPr>
                <w:rFonts w:cs="Times New Roman" w:eastAsiaTheme="majorEastAsia"/>
                <w:kern w:val="0"/>
                <w:szCs w:val="21"/>
              </w:rPr>
            </w:pPr>
            <w:r>
              <w:rPr>
                <w:rFonts w:cs="Times New Roman" w:eastAsiaTheme="majorEastAsia"/>
                <w:kern w:val="0"/>
                <w:szCs w:val="21"/>
              </w:rPr>
              <w:t>县水利局</w:t>
            </w:r>
          </w:p>
        </w:tc>
      </w:tr>
      <w:tr w14:paraId="16345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259" w:type="pct"/>
            <w:shd w:val="clear" w:color="auto" w:fill="auto"/>
            <w:vAlign w:val="center"/>
          </w:tcPr>
          <w:p w14:paraId="424E8313">
            <w:pPr>
              <w:jc w:val="center"/>
              <w:textAlignment w:val="center"/>
              <w:rPr>
                <w:rFonts w:ascii="宋体" w:hAnsi="宋体" w:eastAsia="宋体"/>
                <w:color w:val="000000"/>
                <w:kern w:val="0"/>
                <w:sz w:val="22"/>
                <w:lang w:bidi="ar"/>
              </w:rPr>
            </w:pPr>
            <w:r>
              <w:rPr>
                <w:rFonts w:hint="eastAsia" w:ascii="宋体" w:hAnsi="宋体" w:eastAsia="宋体"/>
                <w:color w:val="000000"/>
                <w:kern w:val="0"/>
                <w:sz w:val="22"/>
                <w:lang w:bidi="ar"/>
              </w:rPr>
              <w:t>4</w:t>
            </w:r>
          </w:p>
        </w:tc>
        <w:tc>
          <w:tcPr>
            <w:tcW w:w="697" w:type="pct"/>
            <w:shd w:val="clear" w:color="000000" w:fill="FFFFFF"/>
            <w:vAlign w:val="center"/>
          </w:tcPr>
          <w:p w14:paraId="5907568E">
            <w:pPr>
              <w:jc w:val="center"/>
              <w:rPr>
                <w:rFonts w:cs="Times New Roman" w:eastAsiaTheme="majorEastAsia"/>
                <w:kern w:val="0"/>
                <w:szCs w:val="21"/>
              </w:rPr>
            </w:pPr>
            <w:r>
              <w:rPr>
                <w:rFonts w:cs="Times New Roman" w:eastAsiaTheme="majorEastAsia"/>
                <w:kern w:val="0"/>
                <w:szCs w:val="21"/>
              </w:rPr>
              <w:t>昌都市洛隆县孜西灌区工程</w:t>
            </w:r>
          </w:p>
        </w:tc>
        <w:tc>
          <w:tcPr>
            <w:tcW w:w="228" w:type="pct"/>
            <w:shd w:val="clear" w:color="000000" w:fill="FFFFFF"/>
          </w:tcPr>
          <w:p w14:paraId="09905996">
            <w:pPr>
              <w:jc w:val="center"/>
              <w:rPr>
                <w:rFonts w:cs="Times New Roman" w:eastAsiaTheme="majorEastAsia"/>
                <w:kern w:val="0"/>
                <w:szCs w:val="21"/>
              </w:rPr>
            </w:pPr>
            <w:r>
              <w:rPr>
                <w:rFonts w:cs="Times New Roman" w:eastAsiaTheme="majorEastAsia"/>
                <w:kern w:val="0"/>
                <w:szCs w:val="21"/>
              </w:rPr>
              <w:t>续建</w:t>
            </w:r>
          </w:p>
        </w:tc>
        <w:tc>
          <w:tcPr>
            <w:tcW w:w="2132" w:type="pct"/>
            <w:shd w:val="clear" w:color="000000" w:fill="FFFFFF"/>
            <w:vAlign w:val="center"/>
          </w:tcPr>
          <w:p w14:paraId="01C9745C">
            <w:pPr>
              <w:jc w:val="center"/>
              <w:rPr>
                <w:rFonts w:cs="Times New Roman" w:eastAsiaTheme="majorEastAsia"/>
                <w:kern w:val="0"/>
                <w:szCs w:val="21"/>
              </w:rPr>
            </w:pPr>
            <w:r>
              <w:rPr>
                <w:rFonts w:cs="Times New Roman" w:eastAsiaTheme="majorEastAsia"/>
                <w:kern w:val="0"/>
                <w:szCs w:val="21"/>
              </w:rPr>
              <w:t>计划新建渠道70公里，支取3条，设计灌溉面积4200亩，其中，改善3800亩，新增400亩。</w:t>
            </w:r>
          </w:p>
        </w:tc>
        <w:tc>
          <w:tcPr>
            <w:tcW w:w="431" w:type="pct"/>
            <w:vAlign w:val="center"/>
          </w:tcPr>
          <w:p w14:paraId="2881AEFC">
            <w:pPr>
              <w:jc w:val="center"/>
              <w:rPr>
                <w:rFonts w:cs="Times New Roman" w:eastAsiaTheme="majorEastAsia"/>
                <w:kern w:val="0"/>
                <w:szCs w:val="21"/>
              </w:rPr>
            </w:pPr>
            <w:r>
              <w:rPr>
                <w:rFonts w:cs="Times New Roman" w:eastAsiaTheme="majorEastAsia"/>
                <w:kern w:val="0"/>
                <w:szCs w:val="21"/>
              </w:rPr>
              <w:t>2022~2025</w:t>
            </w:r>
          </w:p>
        </w:tc>
        <w:tc>
          <w:tcPr>
            <w:tcW w:w="502" w:type="pct"/>
            <w:vAlign w:val="center"/>
          </w:tcPr>
          <w:p w14:paraId="1222D0EB">
            <w:pPr>
              <w:snapToGrid w:val="0"/>
              <w:jc w:val="center"/>
              <w:rPr>
                <w:rFonts w:cs="Times New Roman" w:eastAsiaTheme="majorEastAsia"/>
                <w:kern w:val="0"/>
                <w:szCs w:val="21"/>
              </w:rPr>
            </w:pPr>
            <w:r>
              <w:rPr>
                <w:rFonts w:cs="Times New Roman" w:eastAsiaTheme="majorEastAsia"/>
                <w:kern w:val="0"/>
                <w:szCs w:val="21"/>
              </w:rPr>
              <w:t>孜西灌区</w:t>
            </w:r>
          </w:p>
        </w:tc>
        <w:tc>
          <w:tcPr>
            <w:tcW w:w="381" w:type="pct"/>
            <w:noWrap/>
            <w:vAlign w:val="center"/>
          </w:tcPr>
          <w:p w14:paraId="5CB589E8">
            <w:pPr>
              <w:jc w:val="center"/>
              <w:rPr>
                <w:rFonts w:cs="Times New Roman" w:eastAsiaTheme="majorEastAsia"/>
                <w:kern w:val="0"/>
                <w:szCs w:val="21"/>
              </w:rPr>
            </w:pPr>
            <w:r>
              <w:rPr>
                <w:rFonts w:cs="Times New Roman" w:eastAsiaTheme="majorEastAsia"/>
                <w:kern w:val="0"/>
                <w:szCs w:val="21"/>
              </w:rPr>
              <w:t>6000</w:t>
            </w:r>
          </w:p>
        </w:tc>
        <w:tc>
          <w:tcPr>
            <w:tcW w:w="366" w:type="pct"/>
            <w:vAlign w:val="center"/>
          </w:tcPr>
          <w:p w14:paraId="3B786E83">
            <w:pPr>
              <w:jc w:val="center"/>
              <w:rPr>
                <w:rFonts w:cs="Times New Roman" w:eastAsiaTheme="majorEastAsia"/>
                <w:kern w:val="0"/>
                <w:szCs w:val="21"/>
              </w:rPr>
            </w:pPr>
            <w:r>
              <w:rPr>
                <w:rFonts w:cs="Times New Roman" w:eastAsiaTheme="majorEastAsia"/>
                <w:kern w:val="0"/>
                <w:szCs w:val="21"/>
              </w:rPr>
              <w:t>县水利局</w:t>
            </w:r>
          </w:p>
        </w:tc>
      </w:tr>
      <w:tr w14:paraId="51021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259" w:type="pct"/>
            <w:shd w:val="clear" w:color="auto" w:fill="auto"/>
            <w:vAlign w:val="center"/>
          </w:tcPr>
          <w:p w14:paraId="71782297">
            <w:pPr>
              <w:jc w:val="center"/>
              <w:textAlignment w:val="center"/>
              <w:rPr>
                <w:rFonts w:ascii="宋体" w:hAnsi="宋体" w:eastAsia="宋体"/>
                <w:color w:val="000000"/>
                <w:kern w:val="0"/>
                <w:sz w:val="22"/>
                <w:lang w:bidi="ar"/>
              </w:rPr>
            </w:pPr>
            <w:r>
              <w:rPr>
                <w:rFonts w:hint="eastAsia" w:ascii="宋体" w:hAnsi="宋体" w:eastAsia="宋体"/>
                <w:color w:val="000000"/>
                <w:kern w:val="0"/>
                <w:sz w:val="22"/>
                <w:lang w:bidi="ar"/>
              </w:rPr>
              <w:t>5</w:t>
            </w:r>
          </w:p>
        </w:tc>
        <w:tc>
          <w:tcPr>
            <w:tcW w:w="697" w:type="pct"/>
            <w:shd w:val="clear" w:color="000000" w:fill="FFFFFF"/>
            <w:vAlign w:val="center"/>
          </w:tcPr>
          <w:p w14:paraId="28D40207">
            <w:pPr>
              <w:jc w:val="center"/>
              <w:rPr>
                <w:rFonts w:cs="Times New Roman" w:eastAsiaTheme="majorEastAsia"/>
                <w:kern w:val="0"/>
                <w:szCs w:val="21"/>
              </w:rPr>
            </w:pPr>
            <w:r>
              <w:rPr>
                <w:rFonts w:cs="Times New Roman" w:eastAsiaTheme="majorEastAsia"/>
                <w:kern w:val="0"/>
                <w:szCs w:val="21"/>
              </w:rPr>
              <w:t>昌都市洛隆县马利灌区工程</w:t>
            </w:r>
          </w:p>
        </w:tc>
        <w:tc>
          <w:tcPr>
            <w:tcW w:w="228" w:type="pct"/>
            <w:shd w:val="clear" w:color="000000" w:fill="FFFFFF"/>
          </w:tcPr>
          <w:p w14:paraId="685E9417">
            <w:pPr>
              <w:jc w:val="center"/>
              <w:rPr>
                <w:rFonts w:cs="Times New Roman" w:eastAsiaTheme="majorEastAsia"/>
                <w:kern w:val="0"/>
                <w:szCs w:val="21"/>
              </w:rPr>
            </w:pPr>
            <w:r>
              <w:rPr>
                <w:rFonts w:cs="Times New Roman" w:eastAsiaTheme="majorEastAsia"/>
                <w:kern w:val="0"/>
                <w:szCs w:val="21"/>
              </w:rPr>
              <w:t>续建</w:t>
            </w:r>
          </w:p>
        </w:tc>
        <w:tc>
          <w:tcPr>
            <w:tcW w:w="2132" w:type="pct"/>
            <w:shd w:val="clear" w:color="000000" w:fill="FFFFFF"/>
            <w:vAlign w:val="center"/>
          </w:tcPr>
          <w:p w14:paraId="0F64367C">
            <w:pPr>
              <w:jc w:val="center"/>
              <w:rPr>
                <w:rFonts w:cs="Times New Roman" w:eastAsiaTheme="majorEastAsia"/>
                <w:kern w:val="0"/>
                <w:szCs w:val="21"/>
              </w:rPr>
            </w:pPr>
            <w:r>
              <w:rPr>
                <w:rFonts w:cs="Times New Roman" w:eastAsiaTheme="majorEastAsia"/>
                <w:kern w:val="0"/>
                <w:szCs w:val="21"/>
              </w:rPr>
              <w:t>干渠长30公里，渠系配套建筑物30座。设计灌溉面积6300亩。</w:t>
            </w:r>
          </w:p>
        </w:tc>
        <w:tc>
          <w:tcPr>
            <w:tcW w:w="431" w:type="pct"/>
            <w:vAlign w:val="center"/>
          </w:tcPr>
          <w:p w14:paraId="128AFDC1">
            <w:pPr>
              <w:jc w:val="center"/>
              <w:rPr>
                <w:rFonts w:cs="Times New Roman" w:eastAsiaTheme="majorEastAsia"/>
                <w:kern w:val="0"/>
                <w:szCs w:val="21"/>
              </w:rPr>
            </w:pPr>
            <w:r>
              <w:rPr>
                <w:rFonts w:cs="Times New Roman" w:eastAsiaTheme="majorEastAsia"/>
                <w:kern w:val="0"/>
                <w:szCs w:val="21"/>
              </w:rPr>
              <w:t>2022~2025</w:t>
            </w:r>
          </w:p>
        </w:tc>
        <w:tc>
          <w:tcPr>
            <w:tcW w:w="502" w:type="pct"/>
            <w:vAlign w:val="center"/>
          </w:tcPr>
          <w:p w14:paraId="79358C42">
            <w:pPr>
              <w:snapToGrid w:val="0"/>
              <w:jc w:val="center"/>
              <w:rPr>
                <w:rFonts w:cs="Times New Roman" w:eastAsiaTheme="majorEastAsia"/>
                <w:kern w:val="0"/>
                <w:szCs w:val="21"/>
              </w:rPr>
            </w:pPr>
            <w:r>
              <w:rPr>
                <w:rFonts w:cs="Times New Roman" w:eastAsiaTheme="majorEastAsia"/>
                <w:kern w:val="0"/>
                <w:szCs w:val="21"/>
              </w:rPr>
              <w:t>马利镇</w:t>
            </w:r>
          </w:p>
        </w:tc>
        <w:tc>
          <w:tcPr>
            <w:tcW w:w="381" w:type="pct"/>
            <w:noWrap/>
            <w:vAlign w:val="center"/>
          </w:tcPr>
          <w:p w14:paraId="1652B431">
            <w:pPr>
              <w:jc w:val="center"/>
              <w:rPr>
                <w:rFonts w:cs="Times New Roman" w:eastAsiaTheme="majorEastAsia"/>
                <w:kern w:val="0"/>
                <w:szCs w:val="21"/>
              </w:rPr>
            </w:pPr>
            <w:r>
              <w:rPr>
                <w:rFonts w:cs="Times New Roman" w:eastAsiaTheme="majorEastAsia"/>
                <w:kern w:val="0"/>
                <w:szCs w:val="21"/>
              </w:rPr>
              <w:t>1858</w:t>
            </w:r>
          </w:p>
        </w:tc>
        <w:tc>
          <w:tcPr>
            <w:tcW w:w="366" w:type="pct"/>
            <w:vAlign w:val="center"/>
          </w:tcPr>
          <w:p w14:paraId="7DD78B25">
            <w:pPr>
              <w:jc w:val="center"/>
              <w:rPr>
                <w:rFonts w:cs="Times New Roman" w:eastAsiaTheme="majorEastAsia"/>
                <w:kern w:val="0"/>
                <w:szCs w:val="21"/>
              </w:rPr>
            </w:pPr>
            <w:r>
              <w:rPr>
                <w:rFonts w:cs="Times New Roman" w:eastAsiaTheme="majorEastAsia"/>
                <w:kern w:val="0"/>
                <w:szCs w:val="21"/>
              </w:rPr>
              <w:t>县水利局</w:t>
            </w:r>
          </w:p>
        </w:tc>
      </w:tr>
      <w:tr w14:paraId="3B85B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jc w:val="center"/>
        </w:trPr>
        <w:tc>
          <w:tcPr>
            <w:tcW w:w="259" w:type="pct"/>
            <w:shd w:val="clear" w:color="auto" w:fill="auto"/>
            <w:vAlign w:val="center"/>
          </w:tcPr>
          <w:p w14:paraId="586D3618">
            <w:pPr>
              <w:jc w:val="center"/>
              <w:textAlignment w:val="center"/>
              <w:rPr>
                <w:rFonts w:ascii="宋体" w:hAnsi="宋体" w:eastAsia="宋体"/>
                <w:color w:val="000000"/>
                <w:kern w:val="0"/>
                <w:sz w:val="22"/>
                <w:lang w:bidi="ar"/>
              </w:rPr>
            </w:pPr>
            <w:r>
              <w:rPr>
                <w:rFonts w:hint="eastAsia" w:ascii="宋体" w:hAnsi="宋体" w:eastAsia="宋体"/>
                <w:color w:val="000000"/>
                <w:kern w:val="0"/>
                <w:sz w:val="22"/>
                <w:lang w:bidi="ar"/>
              </w:rPr>
              <w:t>6</w:t>
            </w:r>
          </w:p>
        </w:tc>
        <w:tc>
          <w:tcPr>
            <w:tcW w:w="697" w:type="pct"/>
            <w:shd w:val="clear" w:color="000000" w:fill="FFFFFF"/>
            <w:vAlign w:val="center"/>
          </w:tcPr>
          <w:p w14:paraId="70C12B28">
            <w:pPr>
              <w:jc w:val="center"/>
              <w:rPr>
                <w:rFonts w:cs="Times New Roman" w:eastAsiaTheme="majorEastAsia"/>
                <w:kern w:val="0"/>
                <w:szCs w:val="21"/>
              </w:rPr>
            </w:pPr>
            <w:r>
              <w:rPr>
                <w:rFonts w:cs="Times New Roman" w:eastAsiaTheme="majorEastAsia"/>
                <w:kern w:val="0"/>
                <w:szCs w:val="21"/>
              </w:rPr>
              <w:t>洛隆县俄西乡温室大棚水肥一体化建设项目</w:t>
            </w:r>
          </w:p>
        </w:tc>
        <w:tc>
          <w:tcPr>
            <w:tcW w:w="228" w:type="pct"/>
            <w:shd w:val="clear" w:color="000000" w:fill="FFFFFF"/>
          </w:tcPr>
          <w:p w14:paraId="3DA181B6">
            <w:pPr>
              <w:jc w:val="center"/>
              <w:rPr>
                <w:rFonts w:cs="Times New Roman" w:eastAsiaTheme="majorEastAsia"/>
                <w:kern w:val="0"/>
                <w:szCs w:val="21"/>
              </w:rPr>
            </w:pPr>
            <w:r>
              <w:rPr>
                <w:rFonts w:cs="Times New Roman" w:eastAsiaTheme="majorEastAsia"/>
                <w:kern w:val="0"/>
                <w:szCs w:val="21"/>
              </w:rPr>
              <w:t>续建</w:t>
            </w:r>
          </w:p>
        </w:tc>
        <w:tc>
          <w:tcPr>
            <w:tcW w:w="2132" w:type="pct"/>
            <w:shd w:val="clear" w:color="000000" w:fill="FFFFFF"/>
            <w:vAlign w:val="center"/>
          </w:tcPr>
          <w:p w14:paraId="77F9F769">
            <w:pPr>
              <w:jc w:val="center"/>
              <w:rPr>
                <w:rFonts w:cs="Times New Roman" w:eastAsiaTheme="majorEastAsia"/>
                <w:kern w:val="0"/>
                <w:szCs w:val="21"/>
              </w:rPr>
            </w:pPr>
            <w:r>
              <w:rPr>
                <w:rFonts w:cs="Times New Roman" w:eastAsiaTheme="majorEastAsia"/>
                <w:kern w:val="0"/>
                <w:szCs w:val="21"/>
              </w:rPr>
              <w:t>72亩（150座）温室大棚实施水肥一体化技术建设，主要内容包括泵房、水路管道、输电线路、变压器、闸阀、管件、过滤系统、施肥设备、自动控制设备、量测设备、安全设备等内容。</w:t>
            </w:r>
          </w:p>
        </w:tc>
        <w:tc>
          <w:tcPr>
            <w:tcW w:w="431" w:type="pct"/>
            <w:vAlign w:val="center"/>
          </w:tcPr>
          <w:p w14:paraId="4B955E3F">
            <w:pPr>
              <w:jc w:val="center"/>
              <w:rPr>
                <w:rFonts w:cs="Times New Roman" w:eastAsiaTheme="majorEastAsia"/>
                <w:kern w:val="0"/>
                <w:szCs w:val="21"/>
              </w:rPr>
            </w:pPr>
            <w:r>
              <w:rPr>
                <w:rFonts w:cs="Times New Roman" w:eastAsiaTheme="majorEastAsia"/>
                <w:kern w:val="0"/>
                <w:szCs w:val="21"/>
              </w:rPr>
              <w:t>2022~2025</w:t>
            </w:r>
          </w:p>
        </w:tc>
        <w:tc>
          <w:tcPr>
            <w:tcW w:w="502" w:type="pct"/>
            <w:vAlign w:val="center"/>
          </w:tcPr>
          <w:p w14:paraId="3C4D6E54">
            <w:pPr>
              <w:snapToGrid w:val="0"/>
              <w:jc w:val="center"/>
              <w:rPr>
                <w:rFonts w:cs="Times New Roman" w:eastAsiaTheme="majorEastAsia"/>
                <w:kern w:val="0"/>
                <w:szCs w:val="21"/>
              </w:rPr>
            </w:pPr>
            <w:r>
              <w:rPr>
                <w:rFonts w:cs="Times New Roman" w:eastAsiaTheme="majorEastAsia"/>
                <w:kern w:val="0"/>
                <w:szCs w:val="21"/>
              </w:rPr>
              <w:t>俄西乡</w:t>
            </w:r>
          </w:p>
        </w:tc>
        <w:tc>
          <w:tcPr>
            <w:tcW w:w="381" w:type="pct"/>
            <w:noWrap/>
            <w:vAlign w:val="center"/>
          </w:tcPr>
          <w:p w14:paraId="018E6562">
            <w:pPr>
              <w:jc w:val="center"/>
              <w:rPr>
                <w:rFonts w:cs="Times New Roman" w:eastAsiaTheme="majorEastAsia"/>
                <w:kern w:val="0"/>
                <w:szCs w:val="21"/>
              </w:rPr>
            </w:pPr>
            <w:r>
              <w:rPr>
                <w:rFonts w:cs="Times New Roman" w:eastAsiaTheme="majorEastAsia"/>
                <w:kern w:val="0"/>
                <w:szCs w:val="21"/>
              </w:rPr>
              <w:t>72</w:t>
            </w:r>
          </w:p>
        </w:tc>
        <w:tc>
          <w:tcPr>
            <w:tcW w:w="366" w:type="pct"/>
            <w:vAlign w:val="center"/>
          </w:tcPr>
          <w:p w14:paraId="4ED42469">
            <w:pPr>
              <w:jc w:val="center"/>
              <w:rPr>
                <w:rFonts w:cs="Times New Roman" w:eastAsiaTheme="majorEastAsia"/>
                <w:kern w:val="0"/>
                <w:szCs w:val="21"/>
              </w:rPr>
            </w:pPr>
            <w:r>
              <w:rPr>
                <w:rFonts w:cs="Times New Roman" w:eastAsiaTheme="majorEastAsia"/>
                <w:kern w:val="0"/>
                <w:szCs w:val="21"/>
              </w:rPr>
              <w:t>县水利局</w:t>
            </w:r>
          </w:p>
        </w:tc>
      </w:tr>
      <w:tr w14:paraId="29CDA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jc w:val="center"/>
        </w:trPr>
        <w:tc>
          <w:tcPr>
            <w:tcW w:w="259" w:type="pct"/>
            <w:shd w:val="clear" w:color="auto" w:fill="auto"/>
            <w:vAlign w:val="center"/>
          </w:tcPr>
          <w:p w14:paraId="140D4C35">
            <w:pPr>
              <w:jc w:val="center"/>
              <w:textAlignment w:val="center"/>
              <w:rPr>
                <w:rFonts w:ascii="宋体" w:hAnsi="宋体" w:eastAsia="宋体"/>
                <w:color w:val="000000"/>
                <w:kern w:val="0"/>
                <w:sz w:val="22"/>
                <w:lang w:bidi="ar"/>
              </w:rPr>
            </w:pPr>
            <w:r>
              <w:rPr>
                <w:rFonts w:hint="eastAsia" w:ascii="宋体" w:hAnsi="宋体" w:eastAsia="宋体"/>
                <w:color w:val="000000"/>
                <w:kern w:val="0"/>
                <w:sz w:val="22"/>
                <w:lang w:bidi="ar"/>
              </w:rPr>
              <w:t>7</w:t>
            </w:r>
          </w:p>
        </w:tc>
        <w:tc>
          <w:tcPr>
            <w:tcW w:w="697" w:type="pct"/>
            <w:shd w:val="clear" w:color="000000" w:fill="FFFFFF"/>
            <w:vAlign w:val="center"/>
          </w:tcPr>
          <w:p w14:paraId="5D315868">
            <w:pPr>
              <w:jc w:val="center"/>
              <w:rPr>
                <w:rFonts w:cs="Times New Roman" w:eastAsiaTheme="majorEastAsia"/>
                <w:kern w:val="0"/>
                <w:szCs w:val="21"/>
              </w:rPr>
            </w:pPr>
            <w:r>
              <w:rPr>
                <w:rFonts w:cs="Times New Roman" w:eastAsiaTheme="majorEastAsia"/>
                <w:kern w:val="0"/>
                <w:szCs w:val="21"/>
              </w:rPr>
              <w:t>洛隆县孜托镇温室大棚水肥一体化技术建设项目</w:t>
            </w:r>
          </w:p>
        </w:tc>
        <w:tc>
          <w:tcPr>
            <w:tcW w:w="228" w:type="pct"/>
            <w:shd w:val="clear" w:color="000000" w:fill="FFFFFF"/>
          </w:tcPr>
          <w:p w14:paraId="49196EBD">
            <w:pPr>
              <w:jc w:val="center"/>
              <w:rPr>
                <w:rFonts w:cs="Times New Roman" w:eastAsiaTheme="majorEastAsia"/>
                <w:kern w:val="0"/>
                <w:szCs w:val="21"/>
              </w:rPr>
            </w:pPr>
            <w:r>
              <w:rPr>
                <w:rFonts w:cs="Times New Roman" w:eastAsiaTheme="majorEastAsia"/>
                <w:kern w:val="0"/>
                <w:szCs w:val="21"/>
              </w:rPr>
              <w:t>续建</w:t>
            </w:r>
          </w:p>
        </w:tc>
        <w:tc>
          <w:tcPr>
            <w:tcW w:w="2132" w:type="pct"/>
            <w:shd w:val="clear" w:color="000000" w:fill="FFFFFF"/>
            <w:vAlign w:val="center"/>
          </w:tcPr>
          <w:p w14:paraId="6FBA2425">
            <w:pPr>
              <w:jc w:val="center"/>
              <w:rPr>
                <w:rFonts w:cs="Times New Roman" w:eastAsiaTheme="majorEastAsia"/>
                <w:kern w:val="0"/>
                <w:szCs w:val="21"/>
              </w:rPr>
            </w:pPr>
            <w:r>
              <w:rPr>
                <w:rFonts w:cs="Times New Roman" w:eastAsiaTheme="majorEastAsia"/>
                <w:kern w:val="0"/>
                <w:szCs w:val="21"/>
              </w:rPr>
              <w:t>47亩温室大棚实施水肥一体化技术建设，主要内容包括泵房、水路管道、输电线路、变压器、闸阀、管件、过滤系统、施肥设备、自动控制设备、量测设备、安全设备等内容。</w:t>
            </w:r>
          </w:p>
        </w:tc>
        <w:tc>
          <w:tcPr>
            <w:tcW w:w="431" w:type="pct"/>
            <w:vAlign w:val="center"/>
          </w:tcPr>
          <w:p w14:paraId="53099753">
            <w:pPr>
              <w:jc w:val="center"/>
              <w:rPr>
                <w:rFonts w:cs="Times New Roman" w:eastAsiaTheme="majorEastAsia"/>
                <w:kern w:val="0"/>
                <w:szCs w:val="21"/>
              </w:rPr>
            </w:pPr>
            <w:r>
              <w:rPr>
                <w:rFonts w:cs="Times New Roman" w:eastAsiaTheme="majorEastAsia"/>
                <w:kern w:val="0"/>
                <w:szCs w:val="21"/>
              </w:rPr>
              <w:t>2022~2025</w:t>
            </w:r>
          </w:p>
        </w:tc>
        <w:tc>
          <w:tcPr>
            <w:tcW w:w="502" w:type="pct"/>
            <w:vAlign w:val="center"/>
          </w:tcPr>
          <w:p w14:paraId="31FF3CF8">
            <w:pPr>
              <w:snapToGrid w:val="0"/>
              <w:jc w:val="center"/>
              <w:rPr>
                <w:rFonts w:cs="Times New Roman" w:eastAsiaTheme="majorEastAsia"/>
                <w:kern w:val="0"/>
                <w:szCs w:val="21"/>
              </w:rPr>
            </w:pPr>
            <w:r>
              <w:rPr>
                <w:rFonts w:cs="Times New Roman" w:eastAsiaTheme="majorEastAsia"/>
                <w:kern w:val="0"/>
                <w:szCs w:val="21"/>
              </w:rPr>
              <w:t>孜托镇</w:t>
            </w:r>
          </w:p>
        </w:tc>
        <w:tc>
          <w:tcPr>
            <w:tcW w:w="381" w:type="pct"/>
            <w:noWrap/>
            <w:vAlign w:val="center"/>
          </w:tcPr>
          <w:p w14:paraId="27D2CC90">
            <w:pPr>
              <w:jc w:val="center"/>
              <w:rPr>
                <w:rFonts w:cs="Times New Roman" w:eastAsiaTheme="majorEastAsia"/>
                <w:kern w:val="0"/>
                <w:szCs w:val="21"/>
              </w:rPr>
            </w:pPr>
            <w:r>
              <w:rPr>
                <w:rFonts w:cs="Times New Roman" w:eastAsiaTheme="majorEastAsia"/>
                <w:kern w:val="0"/>
                <w:szCs w:val="21"/>
              </w:rPr>
              <w:t>47</w:t>
            </w:r>
          </w:p>
        </w:tc>
        <w:tc>
          <w:tcPr>
            <w:tcW w:w="366" w:type="pct"/>
            <w:vAlign w:val="center"/>
          </w:tcPr>
          <w:p w14:paraId="5CFE7B50">
            <w:pPr>
              <w:jc w:val="center"/>
              <w:rPr>
                <w:rFonts w:cs="Times New Roman" w:eastAsiaTheme="majorEastAsia"/>
                <w:kern w:val="0"/>
                <w:szCs w:val="21"/>
              </w:rPr>
            </w:pPr>
            <w:r>
              <w:rPr>
                <w:rFonts w:cs="Times New Roman" w:eastAsiaTheme="majorEastAsia"/>
                <w:kern w:val="0"/>
                <w:szCs w:val="21"/>
              </w:rPr>
              <w:t>县水利局</w:t>
            </w:r>
          </w:p>
        </w:tc>
      </w:tr>
      <w:tr w14:paraId="349E2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jc w:val="center"/>
        </w:trPr>
        <w:tc>
          <w:tcPr>
            <w:tcW w:w="259" w:type="pct"/>
            <w:shd w:val="clear" w:color="auto" w:fill="auto"/>
            <w:vAlign w:val="center"/>
          </w:tcPr>
          <w:p w14:paraId="5150EA25">
            <w:pPr>
              <w:jc w:val="center"/>
              <w:textAlignment w:val="center"/>
              <w:rPr>
                <w:rFonts w:ascii="宋体" w:hAnsi="宋体" w:eastAsia="宋体"/>
                <w:color w:val="000000"/>
                <w:kern w:val="0"/>
                <w:sz w:val="22"/>
                <w:lang w:bidi="ar"/>
              </w:rPr>
            </w:pPr>
            <w:r>
              <w:rPr>
                <w:rFonts w:hint="eastAsia" w:ascii="宋体" w:hAnsi="宋体" w:eastAsia="宋体"/>
                <w:color w:val="000000"/>
                <w:kern w:val="0"/>
                <w:sz w:val="22"/>
                <w:lang w:bidi="ar"/>
              </w:rPr>
              <w:t>8</w:t>
            </w:r>
          </w:p>
        </w:tc>
        <w:tc>
          <w:tcPr>
            <w:tcW w:w="697" w:type="pct"/>
            <w:shd w:val="clear" w:color="000000" w:fill="FFFFFF"/>
            <w:vAlign w:val="center"/>
          </w:tcPr>
          <w:p w14:paraId="28335E37">
            <w:pPr>
              <w:jc w:val="center"/>
              <w:rPr>
                <w:rFonts w:cs="Times New Roman" w:eastAsiaTheme="majorEastAsia"/>
                <w:kern w:val="0"/>
                <w:szCs w:val="21"/>
              </w:rPr>
            </w:pPr>
            <w:r>
              <w:rPr>
                <w:rFonts w:cs="Times New Roman" w:eastAsiaTheme="majorEastAsia"/>
                <w:kern w:val="0"/>
                <w:szCs w:val="21"/>
              </w:rPr>
              <w:t>洛隆县林果水肥一体化技术建设项目</w:t>
            </w:r>
          </w:p>
        </w:tc>
        <w:tc>
          <w:tcPr>
            <w:tcW w:w="228" w:type="pct"/>
            <w:shd w:val="clear" w:color="000000" w:fill="FFFFFF"/>
          </w:tcPr>
          <w:p w14:paraId="55B2367A">
            <w:pPr>
              <w:jc w:val="center"/>
              <w:rPr>
                <w:rFonts w:cs="Times New Roman" w:eastAsiaTheme="majorEastAsia"/>
                <w:kern w:val="0"/>
                <w:szCs w:val="21"/>
              </w:rPr>
            </w:pPr>
            <w:r>
              <w:rPr>
                <w:rFonts w:cs="Times New Roman" w:eastAsiaTheme="majorEastAsia"/>
                <w:kern w:val="0"/>
                <w:szCs w:val="21"/>
              </w:rPr>
              <w:t>续建</w:t>
            </w:r>
          </w:p>
        </w:tc>
        <w:tc>
          <w:tcPr>
            <w:tcW w:w="2132" w:type="pct"/>
            <w:shd w:val="clear" w:color="000000" w:fill="FFFFFF"/>
            <w:vAlign w:val="center"/>
          </w:tcPr>
          <w:p w14:paraId="30E0BFA3">
            <w:pPr>
              <w:jc w:val="center"/>
              <w:rPr>
                <w:rFonts w:cs="Times New Roman" w:eastAsiaTheme="majorEastAsia"/>
                <w:kern w:val="0"/>
                <w:szCs w:val="21"/>
              </w:rPr>
            </w:pPr>
            <w:r>
              <w:rPr>
                <w:rFonts w:cs="Times New Roman" w:eastAsiaTheme="majorEastAsia"/>
                <w:kern w:val="0"/>
                <w:szCs w:val="21"/>
              </w:rPr>
              <w:t>1200亩林果实施水肥一体化技术建设，主要内容包括泵房、水路管道、输电线路、变压器、闸阀、管件、过滤系统、施肥设备、自动控制设备、量测设备、安全设备等内容。</w:t>
            </w:r>
          </w:p>
        </w:tc>
        <w:tc>
          <w:tcPr>
            <w:tcW w:w="431" w:type="pct"/>
            <w:vAlign w:val="center"/>
          </w:tcPr>
          <w:p w14:paraId="39249779">
            <w:pPr>
              <w:jc w:val="center"/>
              <w:rPr>
                <w:rFonts w:cs="Times New Roman" w:eastAsiaTheme="majorEastAsia"/>
                <w:kern w:val="0"/>
                <w:szCs w:val="21"/>
              </w:rPr>
            </w:pPr>
            <w:r>
              <w:rPr>
                <w:rFonts w:cs="Times New Roman" w:eastAsiaTheme="majorEastAsia"/>
                <w:kern w:val="0"/>
                <w:szCs w:val="21"/>
              </w:rPr>
              <w:t>2022~2025</w:t>
            </w:r>
          </w:p>
        </w:tc>
        <w:tc>
          <w:tcPr>
            <w:tcW w:w="502" w:type="pct"/>
            <w:vAlign w:val="center"/>
          </w:tcPr>
          <w:p w14:paraId="4BD3CCD5">
            <w:pPr>
              <w:snapToGrid w:val="0"/>
              <w:jc w:val="center"/>
              <w:rPr>
                <w:rFonts w:cs="Times New Roman" w:eastAsiaTheme="majorEastAsia"/>
                <w:kern w:val="0"/>
                <w:szCs w:val="21"/>
              </w:rPr>
            </w:pPr>
          </w:p>
        </w:tc>
        <w:tc>
          <w:tcPr>
            <w:tcW w:w="381" w:type="pct"/>
            <w:noWrap/>
            <w:vAlign w:val="center"/>
          </w:tcPr>
          <w:p w14:paraId="1765D2FC">
            <w:pPr>
              <w:jc w:val="center"/>
              <w:rPr>
                <w:rFonts w:cs="Times New Roman" w:eastAsiaTheme="majorEastAsia"/>
                <w:kern w:val="0"/>
                <w:szCs w:val="21"/>
              </w:rPr>
            </w:pPr>
            <w:r>
              <w:rPr>
                <w:rFonts w:cs="Times New Roman" w:eastAsiaTheme="majorEastAsia"/>
                <w:kern w:val="0"/>
                <w:szCs w:val="21"/>
              </w:rPr>
              <w:t>1200</w:t>
            </w:r>
          </w:p>
        </w:tc>
        <w:tc>
          <w:tcPr>
            <w:tcW w:w="366" w:type="pct"/>
            <w:vAlign w:val="center"/>
          </w:tcPr>
          <w:p w14:paraId="385BCB97">
            <w:pPr>
              <w:jc w:val="center"/>
              <w:rPr>
                <w:rFonts w:cs="Times New Roman" w:eastAsiaTheme="majorEastAsia"/>
                <w:kern w:val="0"/>
                <w:szCs w:val="21"/>
              </w:rPr>
            </w:pPr>
            <w:r>
              <w:rPr>
                <w:rFonts w:cs="Times New Roman" w:eastAsiaTheme="majorEastAsia"/>
                <w:kern w:val="0"/>
                <w:szCs w:val="21"/>
              </w:rPr>
              <w:t>县水利局</w:t>
            </w:r>
          </w:p>
        </w:tc>
      </w:tr>
      <w:tr w14:paraId="7835D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jc w:val="center"/>
        </w:trPr>
        <w:tc>
          <w:tcPr>
            <w:tcW w:w="259" w:type="pct"/>
            <w:shd w:val="clear" w:color="auto" w:fill="auto"/>
            <w:vAlign w:val="center"/>
          </w:tcPr>
          <w:p w14:paraId="31A2DB2B">
            <w:pPr>
              <w:jc w:val="center"/>
              <w:textAlignment w:val="center"/>
              <w:rPr>
                <w:rFonts w:ascii="宋体" w:hAnsi="宋体" w:eastAsia="宋体"/>
                <w:color w:val="000000"/>
                <w:kern w:val="0"/>
                <w:sz w:val="22"/>
                <w:lang w:bidi="ar"/>
              </w:rPr>
            </w:pPr>
            <w:r>
              <w:rPr>
                <w:rFonts w:hint="eastAsia" w:ascii="宋体" w:hAnsi="宋体" w:eastAsia="宋体"/>
                <w:color w:val="000000"/>
                <w:kern w:val="0"/>
                <w:sz w:val="22"/>
                <w:lang w:bidi="ar"/>
              </w:rPr>
              <w:t>9</w:t>
            </w:r>
          </w:p>
        </w:tc>
        <w:tc>
          <w:tcPr>
            <w:tcW w:w="697" w:type="pct"/>
            <w:shd w:val="clear" w:color="000000" w:fill="FFFFFF"/>
            <w:vAlign w:val="center"/>
          </w:tcPr>
          <w:p w14:paraId="4FBEDD4F">
            <w:pPr>
              <w:jc w:val="center"/>
              <w:textAlignment w:val="center"/>
              <w:rPr>
                <w:rFonts w:cs="Times New Roman" w:eastAsiaTheme="majorEastAsia"/>
                <w:kern w:val="0"/>
                <w:szCs w:val="21"/>
                <w:lang w:bidi="ar"/>
              </w:rPr>
            </w:pPr>
            <w:r>
              <w:rPr>
                <w:rFonts w:cs="Times New Roman" w:eastAsiaTheme="majorEastAsia"/>
                <w:kern w:val="0"/>
                <w:szCs w:val="21"/>
                <w:lang w:bidi="ar"/>
              </w:rPr>
              <w:t>洛隆县良种加工厂改扩建及农产品技术研发中心建设</w:t>
            </w:r>
          </w:p>
          <w:p w14:paraId="683CED9F">
            <w:pPr>
              <w:jc w:val="center"/>
              <w:textAlignment w:val="center"/>
              <w:rPr>
                <w:rFonts w:cs="Times New Roman" w:eastAsiaTheme="majorEastAsia"/>
                <w:kern w:val="0"/>
                <w:szCs w:val="21"/>
              </w:rPr>
            </w:pPr>
            <w:r>
              <w:rPr>
                <w:rFonts w:cs="Times New Roman" w:eastAsiaTheme="majorEastAsia"/>
                <w:kern w:val="0"/>
                <w:szCs w:val="21"/>
                <w:lang w:bidi="ar"/>
              </w:rPr>
              <w:t>项目</w:t>
            </w:r>
          </w:p>
        </w:tc>
        <w:tc>
          <w:tcPr>
            <w:tcW w:w="228" w:type="pct"/>
            <w:shd w:val="clear" w:color="000000" w:fill="FFFFFF"/>
          </w:tcPr>
          <w:p w14:paraId="0474E95F">
            <w:pPr>
              <w:jc w:val="center"/>
              <w:rPr>
                <w:rFonts w:cs="Times New Roman" w:eastAsiaTheme="majorEastAsia"/>
                <w:kern w:val="0"/>
                <w:szCs w:val="21"/>
              </w:rPr>
            </w:pPr>
            <w:r>
              <w:rPr>
                <w:rFonts w:cs="Times New Roman" w:eastAsiaTheme="majorEastAsia"/>
                <w:kern w:val="0"/>
                <w:szCs w:val="21"/>
              </w:rPr>
              <w:t>续建</w:t>
            </w:r>
          </w:p>
        </w:tc>
        <w:tc>
          <w:tcPr>
            <w:tcW w:w="2132" w:type="pct"/>
            <w:shd w:val="clear" w:color="000000" w:fill="FFFFFF"/>
            <w:vAlign w:val="center"/>
          </w:tcPr>
          <w:p w14:paraId="1429979D">
            <w:pPr>
              <w:jc w:val="center"/>
              <w:textAlignment w:val="center"/>
              <w:rPr>
                <w:rFonts w:cs="Times New Roman" w:eastAsiaTheme="majorEastAsia"/>
                <w:kern w:val="0"/>
                <w:szCs w:val="21"/>
              </w:rPr>
            </w:pPr>
            <w:r>
              <w:rPr>
                <w:rFonts w:cs="Times New Roman" w:eastAsiaTheme="majorEastAsia"/>
                <w:kern w:val="0"/>
                <w:szCs w:val="21"/>
                <w:lang w:bidi="ar"/>
              </w:rPr>
              <w:t>建设农产品实验培育繁育生产基地约</w:t>
            </w:r>
            <w:r>
              <w:rPr>
                <w:rStyle w:val="168"/>
                <w:rFonts w:eastAsiaTheme="majorEastAsia"/>
                <w:color w:val="auto"/>
                <w:sz w:val="21"/>
                <w:szCs w:val="21"/>
                <w:lang w:bidi="ar"/>
              </w:rPr>
              <w:t>2000</w:t>
            </w:r>
            <w:r>
              <w:rPr>
                <w:rStyle w:val="253"/>
                <w:rFonts w:hint="default" w:ascii="Times New Roman" w:hAnsi="Times New Roman" w:cs="Times New Roman" w:eastAsiaTheme="majorEastAsia"/>
                <w:color w:val="auto"/>
                <w:sz w:val="21"/>
                <w:szCs w:val="21"/>
                <w:lang w:bidi="ar"/>
              </w:rPr>
              <w:t>平方米，建设农产品种子加工库，农产品研发及培训中心，加强农产品保护和利用，购置相关设备，聘请专业技术人员，完善相关设施等。</w:t>
            </w:r>
          </w:p>
        </w:tc>
        <w:tc>
          <w:tcPr>
            <w:tcW w:w="431" w:type="pct"/>
            <w:vAlign w:val="center"/>
          </w:tcPr>
          <w:p w14:paraId="1AAA1B0F">
            <w:pPr>
              <w:jc w:val="center"/>
              <w:textAlignment w:val="center"/>
              <w:rPr>
                <w:rFonts w:cs="Times New Roman" w:eastAsiaTheme="majorEastAsia"/>
                <w:kern w:val="0"/>
                <w:szCs w:val="21"/>
              </w:rPr>
            </w:pPr>
            <w:r>
              <w:rPr>
                <w:rFonts w:cs="Times New Roman" w:eastAsiaTheme="majorEastAsia"/>
                <w:kern w:val="0"/>
                <w:szCs w:val="21"/>
              </w:rPr>
              <w:t>2022~</w:t>
            </w:r>
            <w:r>
              <w:rPr>
                <w:rFonts w:cs="Times New Roman" w:eastAsiaTheme="majorEastAsia"/>
                <w:kern w:val="0"/>
                <w:szCs w:val="21"/>
                <w:lang w:bidi="ar"/>
              </w:rPr>
              <w:t>2023</w:t>
            </w:r>
          </w:p>
        </w:tc>
        <w:tc>
          <w:tcPr>
            <w:tcW w:w="502" w:type="pct"/>
            <w:vAlign w:val="center"/>
          </w:tcPr>
          <w:p w14:paraId="0ADCCAB2">
            <w:pPr>
              <w:jc w:val="center"/>
              <w:textAlignment w:val="center"/>
              <w:rPr>
                <w:rFonts w:cs="Times New Roman" w:eastAsiaTheme="majorEastAsia"/>
                <w:kern w:val="0"/>
                <w:szCs w:val="21"/>
              </w:rPr>
            </w:pPr>
            <w:r>
              <w:rPr>
                <w:rFonts w:cs="Times New Roman" w:eastAsiaTheme="majorEastAsia"/>
                <w:kern w:val="0"/>
                <w:szCs w:val="21"/>
                <w:lang w:bidi="ar"/>
              </w:rPr>
              <w:t>孜托镇</w:t>
            </w:r>
          </w:p>
        </w:tc>
        <w:tc>
          <w:tcPr>
            <w:tcW w:w="381" w:type="pct"/>
            <w:noWrap/>
            <w:vAlign w:val="center"/>
          </w:tcPr>
          <w:p w14:paraId="5358C3A3">
            <w:pPr>
              <w:jc w:val="center"/>
              <w:textAlignment w:val="center"/>
              <w:rPr>
                <w:rFonts w:cs="Times New Roman" w:eastAsiaTheme="majorEastAsia"/>
                <w:kern w:val="0"/>
                <w:szCs w:val="21"/>
              </w:rPr>
            </w:pPr>
            <w:r>
              <w:rPr>
                <w:rFonts w:cs="Times New Roman" w:eastAsiaTheme="majorEastAsia"/>
                <w:kern w:val="0"/>
                <w:szCs w:val="21"/>
                <w:lang w:bidi="ar"/>
              </w:rPr>
              <w:t>2000</w:t>
            </w:r>
          </w:p>
        </w:tc>
        <w:tc>
          <w:tcPr>
            <w:tcW w:w="366" w:type="pct"/>
            <w:vAlign w:val="center"/>
          </w:tcPr>
          <w:p w14:paraId="0F562E2B">
            <w:pPr>
              <w:jc w:val="center"/>
              <w:textAlignment w:val="center"/>
              <w:rPr>
                <w:rFonts w:cs="Times New Roman" w:eastAsiaTheme="majorEastAsia"/>
                <w:kern w:val="0"/>
                <w:szCs w:val="21"/>
              </w:rPr>
            </w:pPr>
            <w:r>
              <w:rPr>
                <w:rFonts w:cs="Times New Roman" w:eastAsiaTheme="majorEastAsia"/>
                <w:kern w:val="0"/>
                <w:szCs w:val="21"/>
                <w:lang w:bidi="ar"/>
              </w:rPr>
              <w:t>县农业农村局</w:t>
            </w:r>
          </w:p>
        </w:tc>
      </w:tr>
      <w:tr w14:paraId="32906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jc w:val="center"/>
        </w:trPr>
        <w:tc>
          <w:tcPr>
            <w:tcW w:w="259" w:type="pct"/>
            <w:shd w:val="clear" w:color="auto" w:fill="auto"/>
            <w:vAlign w:val="center"/>
          </w:tcPr>
          <w:p w14:paraId="44376A5C">
            <w:pPr>
              <w:jc w:val="center"/>
              <w:textAlignment w:val="center"/>
              <w:rPr>
                <w:rFonts w:ascii="宋体" w:hAnsi="宋体" w:eastAsia="宋体"/>
                <w:color w:val="000000"/>
                <w:kern w:val="0"/>
                <w:sz w:val="22"/>
                <w:lang w:bidi="ar"/>
              </w:rPr>
            </w:pPr>
            <w:r>
              <w:rPr>
                <w:rFonts w:hint="eastAsia" w:ascii="宋体" w:hAnsi="宋体" w:eastAsia="宋体"/>
                <w:color w:val="000000"/>
                <w:kern w:val="0"/>
                <w:sz w:val="22"/>
                <w:lang w:bidi="ar"/>
              </w:rPr>
              <w:t>10</w:t>
            </w:r>
          </w:p>
        </w:tc>
        <w:tc>
          <w:tcPr>
            <w:tcW w:w="697" w:type="pct"/>
            <w:shd w:val="clear" w:color="000000" w:fill="FFFFFF"/>
            <w:vAlign w:val="center"/>
          </w:tcPr>
          <w:p w14:paraId="1CF81D79">
            <w:pPr>
              <w:jc w:val="center"/>
              <w:textAlignment w:val="center"/>
              <w:rPr>
                <w:rFonts w:cs="Times New Roman" w:eastAsiaTheme="majorEastAsia"/>
                <w:kern w:val="0"/>
                <w:szCs w:val="21"/>
              </w:rPr>
            </w:pPr>
            <w:r>
              <w:rPr>
                <w:rFonts w:cs="Times New Roman" w:eastAsiaTheme="majorEastAsia"/>
                <w:kern w:val="0"/>
                <w:szCs w:val="21"/>
                <w:lang w:bidi="ar"/>
              </w:rPr>
              <w:t>昌都市洛隆县农畜产品（卡若香猪）深加工项目</w:t>
            </w:r>
          </w:p>
        </w:tc>
        <w:tc>
          <w:tcPr>
            <w:tcW w:w="228" w:type="pct"/>
            <w:shd w:val="clear" w:color="000000" w:fill="FFFFFF"/>
          </w:tcPr>
          <w:p w14:paraId="758F5A75">
            <w:pPr>
              <w:jc w:val="center"/>
              <w:rPr>
                <w:rFonts w:cs="Times New Roman" w:eastAsiaTheme="majorEastAsia"/>
                <w:kern w:val="0"/>
                <w:szCs w:val="21"/>
              </w:rPr>
            </w:pPr>
            <w:r>
              <w:rPr>
                <w:rFonts w:cs="Times New Roman" w:eastAsiaTheme="majorEastAsia"/>
                <w:kern w:val="0"/>
                <w:szCs w:val="21"/>
              </w:rPr>
              <w:t>续建</w:t>
            </w:r>
          </w:p>
        </w:tc>
        <w:tc>
          <w:tcPr>
            <w:tcW w:w="2132" w:type="pct"/>
            <w:shd w:val="clear" w:color="000000" w:fill="FFFFFF"/>
            <w:vAlign w:val="center"/>
          </w:tcPr>
          <w:p w14:paraId="178E40DA">
            <w:pPr>
              <w:jc w:val="center"/>
              <w:textAlignment w:val="center"/>
              <w:rPr>
                <w:rFonts w:cs="Times New Roman" w:eastAsiaTheme="majorEastAsia"/>
                <w:kern w:val="0"/>
                <w:szCs w:val="21"/>
              </w:rPr>
            </w:pPr>
            <w:r>
              <w:rPr>
                <w:rFonts w:cs="Times New Roman" w:eastAsiaTheme="majorEastAsia"/>
                <w:kern w:val="0"/>
                <w:szCs w:val="21"/>
                <w:lang w:bidi="ar"/>
              </w:rPr>
              <w:t>依托洛隆县卡若香猪养殖基地，修建一整套农副产品、肉食品深加工及销售系统，大约需要修建</w:t>
            </w:r>
            <w:r>
              <w:rPr>
                <w:rStyle w:val="168"/>
                <w:rFonts w:eastAsiaTheme="majorEastAsia"/>
                <w:color w:val="auto"/>
                <w:sz w:val="21"/>
                <w:szCs w:val="21"/>
                <w:lang w:bidi="ar"/>
              </w:rPr>
              <w:t>4000</w:t>
            </w:r>
            <w:r>
              <w:rPr>
                <w:rStyle w:val="253"/>
                <w:rFonts w:hint="default" w:ascii="Times New Roman" w:hAnsi="Times New Roman" w:cs="Times New Roman" w:eastAsiaTheme="majorEastAsia"/>
                <w:color w:val="auto"/>
                <w:sz w:val="21"/>
                <w:szCs w:val="21"/>
                <w:lang w:bidi="ar"/>
              </w:rPr>
              <w:t>平方米的加工基地，制作香肠、火腿肠、猪肉罐头等产品，基地含仓储、冷链、运输及配套的深加工设备等。</w:t>
            </w:r>
          </w:p>
        </w:tc>
        <w:tc>
          <w:tcPr>
            <w:tcW w:w="431" w:type="pct"/>
            <w:vAlign w:val="center"/>
          </w:tcPr>
          <w:p w14:paraId="475AB8E5">
            <w:pPr>
              <w:jc w:val="center"/>
              <w:textAlignment w:val="center"/>
              <w:rPr>
                <w:rFonts w:cs="Times New Roman" w:eastAsiaTheme="majorEastAsia"/>
                <w:kern w:val="0"/>
                <w:szCs w:val="21"/>
              </w:rPr>
            </w:pPr>
            <w:r>
              <w:rPr>
                <w:rFonts w:cs="Times New Roman" w:eastAsiaTheme="majorEastAsia"/>
                <w:kern w:val="0"/>
                <w:szCs w:val="21"/>
              </w:rPr>
              <w:t>2022~</w:t>
            </w:r>
            <w:r>
              <w:rPr>
                <w:rFonts w:cs="Times New Roman" w:eastAsiaTheme="majorEastAsia"/>
                <w:kern w:val="0"/>
                <w:szCs w:val="21"/>
                <w:lang w:bidi="ar"/>
              </w:rPr>
              <w:t>2023</w:t>
            </w:r>
          </w:p>
        </w:tc>
        <w:tc>
          <w:tcPr>
            <w:tcW w:w="502" w:type="pct"/>
            <w:vAlign w:val="center"/>
          </w:tcPr>
          <w:p w14:paraId="7E7410E4">
            <w:pPr>
              <w:jc w:val="center"/>
              <w:textAlignment w:val="center"/>
              <w:rPr>
                <w:rFonts w:cs="Times New Roman" w:eastAsiaTheme="majorEastAsia"/>
                <w:kern w:val="0"/>
                <w:szCs w:val="21"/>
              </w:rPr>
            </w:pPr>
            <w:r>
              <w:rPr>
                <w:rFonts w:cs="Times New Roman" w:eastAsiaTheme="majorEastAsia"/>
                <w:kern w:val="0"/>
                <w:szCs w:val="21"/>
                <w:lang w:bidi="ar"/>
              </w:rPr>
              <w:t>洛隆县孜托镇工业园区</w:t>
            </w:r>
          </w:p>
        </w:tc>
        <w:tc>
          <w:tcPr>
            <w:tcW w:w="381" w:type="pct"/>
            <w:noWrap/>
            <w:vAlign w:val="center"/>
          </w:tcPr>
          <w:p w14:paraId="45B8E3A7">
            <w:pPr>
              <w:jc w:val="center"/>
              <w:textAlignment w:val="center"/>
              <w:rPr>
                <w:rFonts w:cs="Times New Roman" w:eastAsiaTheme="majorEastAsia"/>
                <w:kern w:val="0"/>
                <w:szCs w:val="21"/>
              </w:rPr>
            </w:pPr>
            <w:r>
              <w:rPr>
                <w:rFonts w:cs="Times New Roman" w:eastAsiaTheme="majorEastAsia"/>
                <w:kern w:val="0"/>
                <w:szCs w:val="21"/>
                <w:lang w:bidi="ar"/>
              </w:rPr>
              <w:t>2200</w:t>
            </w:r>
          </w:p>
        </w:tc>
        <w:tc>
          <w:tcPr>
            <w:tcW w:w="366" w:type="pct"/>
            <w:vAlign w:val="center"/>
          </w:tcPr>
          <w:p w14:paraId="61025C00">
            <w:pPr>
              <w:jc w:val="center"/>
              <w:textAlignment w:val="center"/>
              <w:rPr>
                <w:rFonts w:cs="Times New Roman" w:eastAsiaTheme="majorEastAsia"/>
                <w:kern w:val="0"/>
                <w:szCs w:val="21"/>
              </w:rPr>
            </w:pPr>
            <w:r>
              <w:rPr>
                <w:rFonts w:cs="Times New Roman" w:eastAsiaTheme="majorEastAsia"/>
                <w:kern w:val="0"/>
                <w:szCs w:val="21"/>
                <w:lang w:bidi="ar"/>
              </w:rPr>
              <w:t>县农业农村局</w:t>
            </w:r>
          </w:p>
        </w:tc>
      </w:tr>
      <w:tr w14:paraId="742A0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259" w:type="pct"/>
            <w:shd w:val="clear" w:color="auto" w:fill="auto"/>
            <w:vAlign w:val="center"/>
          </w:tcPr>
          <w:p w14:paraId="67C50D62">
            <w:pPr>
              <w:jc w:val="center"/>
              <w:textAlignment w:val="center"/>
              <w:rPr>
                <w:rFonts w:ascii="宋体" w:hAnsi="宋体" w:eastAsia="宋体"/>
                <w:color w:val="000000"/>
                <w:kern w:val="0"/>
                <w:sz w:val="22"/>
                <w:lang w:bidi="ar"/>
              </w:rPr>
            </w:pPr>
            <w:r>
              <w:rPr>
                <w:rFonts w:hint="eastAsia" w:ascii="宋体" w:hAnsi="宋体" w:eastAsia="宋体"/>
                <w:color w:val="000000"/>
                <w:kern w:val="0"/>
                <w:sz w:val="22"/>
                <w:lang w:bidi="ar"/>
              </w:rPr>
              <w:t>11</w:t>
            </w:r>
          </w:p>
        </w:tc>
        <w:tc>
          <w:tcPr>
            <w:tcW w:w="697" w:type="pct"/>
            <w:shd w:val="clear" w:color="000000" w:fill="FFFFFF"/>
            <w:vAlign w:val="center"/>
          </w:tcPr>
          <w:p w14:paraId="0D9F4D4F">
            <w:pPr>
              <w:jc w:val="center"/>
              <w:textAlignment w:val="center"/>
              <w:rPr>
                <w:rFonts w:cs="Times New Roman" w:eastAsiaTheme="majorEastAsia"/>
                <w:kern w:val="0"/>
                <w:szCs w:val="21"/>
                <w:lang w:bidi="ar"/>
              </w:rPr>
            </w:pPr>
            <w:r>
              <w:rPr>
                <w:rFonts w:cs="Times New Roman" w:eastAsiaTheme="majorEastAsia"/>
                <w:kern w:val="0"/>
                <w:szCs w:val="21"/>
                <w:lang w:bidi="ar"/>
              </w:rPr>
              <w:t>洛隆县青稞基地种植基地配套建设</w:t>
            </w:r>
          </w:p>
          <w:p w14:paraId="336587F9">
            <w:pPr>
              <w:jc w:val="center"/>
              <w:textAlignment w:val="center"/>
              <w:rPr>
                <w:rFonts w:cs="Times New Roman" w:eastAsiaTheme="majorEastAsia"/>
                <w:kern w:val="0"/>
                <w:szCs w:val="21"/>
                <w:lang w:bidi="ar"/>
              </w:rPr>
            </w:pPr>
            <w:r>
              <w:rPr>
                <w:rFonts w:cs="Times New Roman" w:eastAsiaTheme="majorEastAsia"/>
                <w:kern w:val="0"/>
                <w:szCs w:val="21"/>
                <w:lang w:bidi="ar"/>
              </w:rPr>
              <w:t>项目</w:t>
            </w:r>
          </w:p>
        </w:tc>
        <w:tc>
          <w:tcPr>
            <w:tcW w:w="228" w:type="pct"/>
            <w:shd w:val="clear" w:color="000000" w:fill="FFFFFF"/>
          </w:tcPr>
          <w:p w14:paraId="591E1EBE">
            <w:pPr>
              <w:jc w:val="center"/>
              <w:rPr>
                <w:rFonts w:cs="Times New Roman" w:eastAsiaTheme="majorEastAsia"/>
                <w:kern w:val="0"/>
                <w:szCs w:val="21"/>
              </w:rPr>
            </w:pPr>
            <w:r>
              <w:rPr>
                <w:rFonts w:cs="Times New Roman" w:eastAsiaTheme="majorEastAsia"/>
                <w:kern w:val="0"/>
                <w:szCs w:val="21"/>
              </w:rPr>
              <w:t>续建</w:t>
            </w:r>
          </w:p>
        </w:tc>
        <w:tc>
          <w:tcPr>
            <w:tcW w:w="2132" w:type="pct"/>
            <w:shd w:val="clear" w:color="000000" w:fill="FFFFFF"/>
            <w:vAlign w:val="center"/>
          </w:tcPr>
          <w:p w14:paraId="738E3D35">
            <w:pPr>
              <w:jc w:val="center"/>
              <w:textAlignment w:val="center"/>
              <w:rPr>
                <w:rFonts w:cs="Times New Roman" w:eastAsiaTheme="majorEastAsia"/>
                <w:kern w:val="0"/>
                <w:szCs w:val="21"/>
              </w:rPr>
            </w:pPr>
            <w:r>
              <w:rPr>
                <w:rFonts w:cs="Times New Roman" w:eastAsiaTheme="majorEastAsia"/>
                <w:kern w:val="0"/>
                <w:szCs w:val="21"/>
                <w:lang w:bidi="ar"/>
              </w:rPr>
              <w:t>进一步加强青稞基地农作物和农田基础设施保护，保护耕地面积约</w:t>
            </w:r>
            <w:r>
              <w:rPr>
                <w:rStyle w:val="168"/>
                <w:rFonts w:eastAsiaTheme="majorEastAsia"/>
                <w:color w:val="auto"/>
                <w:sz w:val="21"/>
                <w:szCs w:val="21"/>
                <w:lang w:bidi="ar"/>
              </w:rPr>
              <w:t>5000</w:t>
            </w:r>
            <w:r>
              <w:rPr>
                <w:rStyle w:val="253"/>
                <w:rFonts w:hint="default" w:ascii="Times New Roman" w:hAnsi="Times New Roman" w:cs="Times New Roman" w:eastAsiaTheme="majorEastAsia"/>
                <w:color w:val="auto"/>
                <w:sz w:val="21"/>
                <w:szCs w:val="21"/>
                <w:lang w:bidi="ar"/>
              </w:rPr>
              <w:t>亩，购置网围栏</w:t>
            </w:r>
            <w:r>
              <w:rPr>
                <w:rStyle w:val="168"/>
                <w:rFonts w:eastAsiaTheme="majorEastAsia"/>
                <w:color w:val="auto"/>
                <w:sz w:val="21"/>
                <w:szCs w:val="21"/>
                <w:lang w:bidi="ar"/>
              </w:rPr>
              <w:t>10</w:t>
            </w:r>
            <w:r>
              <w:rPr>
                <w:rStyle w:val="253"/>
                <w:rFonts w:hint="default" w:ascii="Times New Roman" w:hAnsi="Times New Roman" w:cs="Times New Roman" w:eastAsiaTheme="majorEastAsia"/>
                <w:color w:val="auto"/>
                <w:sz w:val="21"/>
                <w:szCs w:val="21"/>
                <w:lang w:bidi="ar"/>
              </w:rPr>
              <w:t>万米，</w:t>
            </w:r>
            <w:r>
              <w:rPr>
                <w:rStyle w:val="168"/>
                <w:rFonts w:eastAsiaTheme="majorEastAsia"/>
                <w:color w:val="auto"/>
                <w:sz w:val="21"/>
                <w:szCs w:val="21"/>
                <w:lang w:bidi="ar"/>
              </w:rPr>
              <w:t>PE</w:t>
            </w:r>
            <w:r>
              <w:rPr>
                <w:rStyle w:val="253"/>
                <w:rFonts w:hint="default" w:ascii="Times New Roman" w:hAnsi="Times New Roman" w:cs="Times New Roman" w:eastAsiaTheme="majorEastAsia"/>
                <w:color w:val="auto"/>
                <w:sz w:val="21"/>
                <w:szCs w:val="21"/>
                <w:lang w:bidi="ar"/>
              </w:rPr>
              <w:t>水管</w:t>
            </w:r>
            <w:r>
              <w:rPr>
                <w:rStyle w:val="168"/>
                <w:rFonts w:eastAsiaTheme="majorEastAsia"/>
                <w:color w:val="auto"/>
                <w:sz w:val="21"/>
                <w:szCs w:val="21"/>
                <w:lang w:bidi="ar"/>
              </w:rPr>
              <w:t>5</w:t>
            </w:r>
            <w:r>
              <w:rPr>
                <w:rStyle w:val="253"/>
                <w:rFonts w:hint="default" w:ascii="Times New Roman" w:hAnsi="Times New Roman" w:cs="Times New Roman" w:eastAsiaTheme="majorEastAsia"/>
                <w:color w:val="auto"/>
                <w:sz w:val="21"/>
                <w:szCs w:val="21"/>
                <w:lang w:bidi="ar"/>
              </w:rPr>
              <w:t>万米等。</w:t>
            </w:r>
          </w:p>
        </w:tc>
        <w:tc>
          <w:tcPr>
            <w:tcW w:w="431" w:type="pct"/>
            <w:vAlign w:val="center"/>
          </w:tcPr>
          <w:p w14:paraId="32CF0075">
            <w:pPr>
              <w:jc w:val="center"/>
              <w:textAlignment w:val="center"/>
              <w:rPr>
                <w:rFonts w:cs="Times New Roman" w:eastAsiaTheme="majorEastAsia"/>
                <w:kern w:val="0"/>
                <w:szCs w:val="21"/>
              </w:rPr>
            </w:pPr>
            <w:r>
              <w:rPr>
                <w:rFonts w:cs="Times New Roman" w:eastAsiaTheme="majorEastAsia"/>
                <w:kern w:val="0"/>
                <w:szCs w:val="21"/>
              </w:rPr>
              <w:t>2022~</w:t>
            </w:r>
            <w:r>
              <w:rPr>
                <w:rFonts w:cs="Times New Roman" w:eastAsiaTheme="majorEastAsia"/>
                <w:kern w:val="0"/>
                <w:szCs w:val="21"/>
                <w:lang w:bidi="ar"/>
              </w:rPr>
              <w:t>2023</w:t>
            </w:r>
          </w:p>
        </w:tc>
        <w:tc>
          <w:tcPr>
            <w:tcW w:w="502" w:type="pct"/>
            <w:vAlign w:val="center"/>
          </w:tcPr>
          <w:p w14:paraId="4A51590D">
            <w:pPr>
              <w:jc w:val="center"/>
              <w:textAlignment w:val="center"/>
              <w:rPr>
                <w:rFonts w:cs="Times New Roman" w:eastAsiaTheme="majorEastAsia"/>
                <w:kern w:val="0"/>
                <w:szCs w:val="21"/>
                <w:lang w:bidi="ar"/>
              </w:rPr>
            </w:pPr>
            <w:r>
              <w:rPr>
                <w:rFonts w:cs="Times New Roman" w:eastAsiaTheme="majorEastAsia"/>
                <w:kern w:val="0"/>
                <w:szCs w:val="21"/>
                <w:lang w:bidi="ar"/>
              </w:rPr>
              <w:t>十一乡镇</w:t>
            </w:r>
          </w:p>
        </w:tc>
        <w:tc>
          <w:tcPr>
            <w:tcW w:w="381" w:type="pct"/>
            <w:noWrap/>
            <w:vAlign w:val="center"/>
          </w:tcPr>
          <w:p w14:paraId="2DD22BAE">
            <w:pPr>
              <w:jc w:val="center"/>
              <w:textAlignment w:val="center"/>
              <w:rPr>
                <w:rFonts w:cs="Times New Roman" w:eastAsiaTheme="majorEastAsia"/>
                <w:kern w:val="0"/>
                <w:szCs w:val="21"/>
              </w:rPr>
            </w:pPr>
            <w:r>
              <w:rPr>
                <w:rFonts w:cs="Times New Roman" w:eastAsiaTheme="majorEastAsia"/>
                <w:kern w:val="0"/>
                <w:szCs w:val="21"/>
                <w:lang w:bidi="ar"/>
              </w:rPr>
              <w:t>500</w:t>
            </w:r>
          </w:p>
        </w:tc>
        <w:tc>
          <w:tcPr>
            <w:tcW w:w="366" w:type="pct"/>
            <w:vAlign w:val="center"/>
          </w:tcPr>
          <w:p w14:paraId="72E27186">
            <w:pPr>
              <w:jc w:val="center"/>
              <w:textAlignment w:val="center"/>
              <w:rPr>
                <w:rFonts w:cs="Times New Roman" w:eastAsiaTheme="majorEastAsia"/>
                <w:kern w:val="0"/>
                <w:szCs w:val="21"/>
                <w:lang w:bidi="ar"/>
              </w:rPr>
            </w:pPr>
            <w:r>
              <w:rPr>
                <w:rFonts w:cs="Times New Roman" w:eastAsiaTheme="majorEastAsia"/>
                <w:kern w:val="0"/>
                <w:szCs w:val="21"/>
                <w:lang w:bidi="ar"/>
              </w:rPr>
              <w:t>县农业农村局</w:t>
            </w:r>
          </w:p>
        </w:tc>
      </w:tr>
      <w:tr w14:paraId="0F45A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jc w:val="center"/>
        </w:trPr>
        <w:tc>
          <w:tcPr>
            <w:tcW w:w="259" w:type="pct"/>
            <w:shd w:val="clear" w:color="auto" w:fill="auto"/>
            <w:vAlign w:val="center"/>
          </w:tcPr>
          <w:p w14:paraId="0C6EAECA">
            <w:pPr>
              <w:jc w:val="center"/>
              <w:textAlignment w:val="center"/>
              <w:rPr>
                <w:rFonts w:ascii="宋体" w:hAnsi="宋体" w:eastAsia="宋体"/>
                <w:color w:val="000000"/>
                <w:kern w:val="0"/>
                <w:sz w:val="22"/>
                <w:lang w:bidi="ar"/>
              </w:rPr>
            </w:pPr>
            <w:r>
              <w:rPr>
                <w:rFonts w:hint="eastAsia" w:ascii="宋体" w:hAnsi="宋体" w:eastAsia="宋体"/>
                <w:color w:val="000000"/>
                <w:kern w:val="0"/>
                <w:sz w:val="22"/>
                <w:lang w:bidi="ar"/>
              </w:rPr>
              <w:t>12</w:t>
            </w:r>
          </w:p>
        </w:tc>
        <w:tc>
          <w:tcPr>
            <w:tcW w:w="697" w:type="pct"/>
            <w:shd w:val="clear" w:color="000000" w:fill="FFFFFF"/>
            <w:vAlign w:val="center"/>
          </w:tcPr>
          <w:p w14:paraId="0D343827">
            <w:pPr>
              <w:jc w:val="center"/>
              <w:textAlignment w:val="center"/>
              <w:rPr>
                <w:rFonts w:cs="Times New Roman" w:eastAsiaTheme="majorEastAsia"/>
                <w:kern w:val="0"/>
                <w:szCs w:val="21"/>
                <w:lang w:bidi="ar"/>
              </w:rPr>
            </w:pPr>
            <w:r>
              <w:rPr>
                <w:rFonts w:cs="Times New Roman" w:eastAsiaTheme="majorEastAsia"/>
                <w:kern w:val="0"/>
                <w:szCs w:val="21"/>
                <w:lang w:bidi="ar"/>
              </w:rPr>
              <w:t>洛隆县绿色生物防控建设项目</w:t>
            </w:r>
          </w:p>
        </w:tc>
        <w:tc>
          <w:tcPr>
            <w:tcW w:w="228" w:type="pct"/>
            <w:shd w:val="clear" w:color="000000" w:fill="FFFFFF"/>
            <w:vAlign w:val="center"/>
          </w:tcPr>
          <w:p w14:paraId="275AEF8F">
            <w:pPr>
              <w:jc w:val="center"/>
              <w:rPr>
                <w:rFonts w:cs="Times New Roman" w:eastAsiaTheme="majorEastAsia"/>
                <w:kern w:val="0"/>
                <w:szCs w:val="21"/>
              </w:rPr>
            </w:pPr>
            <w:r>
              <w:rPr>
                <w:rFonts w:cs="Times New Roman" w:eastAsiaTheme="majorEastAsia"/>
                <w:kern w:val="0"/>
                <w:szCs w:val="21"/>
              </w:rPr>
              <w:t>新建</w:t>
            </w:r>
          </w:p>
        </w:tc>
        <w:tc>
          <w:tcPr>
            <w:tcW w:w="2132" w:type="pct"/>
            <w:shd w:val="clear" w:color="000000" w:fill="FFFFFF"/>
            <w:vAlign w:val="center"/>
          </w:tcPr>
          <w:p w14:paraId="66A50E0C">
            <w:pPr>
              <w:jc w:val="center"/>
              <w:textAlignment w:val="center"/>
              <w:rPr>
                <w:rFonts w:cs="Times New Roman" w:eastAsiaTheme="majorEastAsia"/>
                <w:kern w:val="0"/>
                <w:szCs w:val="21"/>
              </w:rPr>
            </w:pPr>
            <w:r>
              <w:rPr>
                <w:rFonts w:cs="Times New Roman" w:eastAsiaTheme="majorEastAsia"/>
                <w:kern w:val="0"/>
                <w:szCs w:val="21"/>
                <w:lang w:bidi="ar"/>
              </w:rPr>
              <w:t>为有效提高养殖基地空气清洁和细菌防控，对现有的温大棚进行科学防虫，购置相关杀菌、除臭设备以及防虫设备等。</w:t>
            </w:r>
          </w:p>
        </w:tc>
        <w:tc>
          <w:tcPr>
            <w:tcW w:w="431" w:type="pct"/>
            <w:vAlign w:val="center"/>
          </w:tcPr>
          <w:p w14:paraId="6518DF0A">
            <w:pPr>
              <w:jc w:val="center"/>
              <w:textAlignment w:val="center"/>
              <w:rPr>
                <w:rFonts w:cs="Times New Roman" w:eastAsiaTheme="majorEastAsia"/>
                <w:kern w:val="0"/>
                <w:szCs w:val="21"/>
              </w:rPr>
            </w:pPr>
            <w:r>
              <w:rPr>
                <w:rFonts w:cs="Times New Roman" w:eastAsiaTheme="majorEastAsia"/>
                <w:kern w:val="0"/>
                <w:szCs w:val="21"/>
                <w:lang w:bidi="ar"/>
              </w:rPr>
              <w:t>2023</w:t>
            </w:r>
          </w:p>
        </w:tc>
        <w:tc>
          <w:tcPr>
            <w:tcW w:w="502" w:type="pct"/>
            <w:vAlign w:val="center"/>
          </w:tcPr>
          <w:p w14:paraId="06316611">
            <w:pPr>
              <w:jc w:val="center"/>
              <w:textAlignment w:val="center"/>
              <w:rPr>
                <w:rFonts w:cs="Times New Roman" w:eastAsiaTheme="majorEastAsia"/>
                <w:kern w:val="0"/>
                <w:szCs w:val="21"/>
                <w:lang w:bidi="ar"/>
              </w:rPr>
            </w:pPr>
            <w:r>
              <w:rPr>
                <w:rFonts w:cs="Times New Roman" w:eastAsiaTheme="majorEastAsia"/>
                <w:kern w:val="0"/>
                <w:szCs w:val="21"/>
                <w:lang w:bidi="ar"/>
              </w:rPr>
              <w:t>俄西乡、孜托镇、白达乡、中亦乡等</w:t>
            </w:r>
          </w:p>
        </w:tc>
        <w:tc>
          <w:tcPr>
            <w:tcW w:w="381" w:type="pct"/>
            <w:noWrap/>
            <w:vAlign w:val="center"/>
          </w:tcPr>
          <w:p w14:paraId="30254F14">
            <w:pPr>
              <w:jc w:val="center"/>
              <w:textAlignment w:val="center"/>
              <w:rPr>
                <w:rFonts w:cs="Times New Roman" w:eastAsiaTheme="majorEastAsia"/>
                <w:kern w:val="0"/>
                <w:szCs w:val="21"/>
              </w:rPr>
            </w:pPr>
            <w:r>
              <w:rPr>
                <w:rFonts w:cs="Times New Roman" w:eastAsiaTheme="majorEastAsia"/>
                <w:kern w:val="0"/>
                <w:szCs w:val="21"/>
                <w:lang w:bidi="ar"/>
              </w:rPr>
              <w:t>600</w:t>
            </w:r>
          </w:p>
        </w:tc>
        <w:tc>
          <w:tcPr>
            <w:tcW w:w="366" w:type="pct"/>
            <w:vAlign w:val="center"/>
          </w:tcPr>
          <w:p w14:paraId="22576EE2">
            <w:pPr>
              <w:jc w:val="center"/>
              <w:textAlignment w:val="center"/>
              <w:rPr>
                <w:rFonts w:cs="Times New Roman" w:eastAsiaTheme="majorEastAsia"/>
                <w:kern w:val="0"/>
                <w:szCs w:val="21"/>
                <w:lang w:bidi="ar"/>
              </w:rPr>
            </w:pPr>
            <w:r>
              <w:rPr>
                <w:rFonts w:cs="Times New Roman" w:eastAsiaTheme="majorEastAsia"/>
                <w:kern w:val="0"/>
                <w:szCs w:val="21"/>
                <w:lang w:bidi="ar"/>
              </w:rPr>
              <w:t>县农业农村局</w:t>
            </w:r>
          </w:p>
        </w:tc>
      </w:tr>
      <w:tr w14:paraId="47814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259" w:type="pct"/>
            <w:shd w:val="clear" w:color="auto" w:fill="auto"/>
            <w:vAlign w:val="center"/>
          </w:tcPr>
          <w:p w14:paraId="7EE12BB6">
            <w:pPr>
              <w:jc w:val="center"/>
              <w:textAlignment w:val="center"/>
              <w:rPr>
                <w:rFonts w:ascii="宋体" w:hAnsi="宋体" w:eastAsia="宋体"/>
                <w:color w:val="000000"/>
                <w:kern w:val="0"/>
                <w:sz w:val="22"/>
                <w:lang w:bidi="ar"/>
              </w:rPr>
            </w:pPr>
            <w:r>
              <w:rPr>
                <w:rFonts w:hint="eastAsia" w:ascii="宋体" w:hAnsi="宋体" w:eastAsia="宋体"/>
                <w:color w:val="000000"/>
                <w:kern w:val="0"/>
                <w:sz w:val="22"/>
                <w:lang w:bidi="ar"/>
              </w:rPr>
              <w:t>13</w:t>
            </w:r>
          </w:p>
        </w:tc>
        <w:tc>
          <w:tcPr>
            <w:tcW w:w="697" w:type="pct"/>
            <w:shd w:val="clear" w:color="000000" w:fill="FFFFFF"/>
            <w:vAlign w:val="center"/>
          </w:tcPr>
          <w:p w14:paraId="1F56E10D">
            <w:pPr>
              <w:jc w:val="center"/>
              <w:textAlignment w:val="center"/>
              <w:rPr>
                <w:rFonts w:cs="Times New Roman" w:eastAsiaTheme="majorEastAsia"/>
                <w:kern w:val="0"/>
                <w:szCs w:val="21"/>
                <w:lang w:bidi="ar"/>
              </w:rPr>
            </w:pPr>
            <w:r>
              <w:rPr>
                <w:rFonts w:cs="Times New Roman" w:eastAsiaTheme="majorEastAsia"/>
                <w:kern w:val="0"/>
                <w:szCs w:val="21"/>
                <w:lang w:bidi="ar"/>
              </w:rPr>
              <w:t>洛隆县俄西乡设施农业项目</w:t>
            </w:r>
          </w:p>
        </w:tc>
        <w:tc>
          <w:tcPr>
            <w:tcW w:w="228" w:type="pct"/>
            <w:shd w:val="clear" w:color="000000" w:fill="FFFFFF"/>
          </w:tcPr>
          <w:p w14:paraId="630473FB">
            <w:pPr>
              <w:jc w:val="center"/>
              <w:rPr>
                <w:rFonts w:cs="Times New Roman" w:eastAsiaTheme="majorEastAsia"/>
                <w:kern w:val="0"/>
                <w:szCs w:val="21"/>
              </w:rPr>
            </w:pPr>
            <w:r>
              <w:rPr>
                <w:rFonts w:cs="Times New Roman" w:eastAsiaTheme="majorEastAsia"/>
                <w:kern w:val="0"/>
                <w:szCs w:val="21"/>
              </w:rPr>
              <w:t>续建</w:t>
            </w:r>
          </w:p>
        </w:tc>
        <w:tc>
          <w:tcPr>
            <w:tcW w:w="2132" w:type="pct"/>
            <w:shd w:val="clear" w:color="000000" w:fill="FFFFFF"/>
            <w:vAlign w:val="center"/>
          </w:tcPr>
          <w:p w14:paraId="3CE2503B">
            <w:pPr>
              <w:jc w:val="center"/>
              <w:textAlignment w:val="center"/>
              <w:rPr>
                <w:rFonts w:cs="Times New Roman" w:eastAsiaTheme="majorEastAsia"/>
                <w:kern w:val="0"/>
                <w:szCs w:val="21"/>
              </w:rPr>
            </w:pPr>
            <w:r>
              <w:rPr>
                <w:rFonts w:cs="Times New Roman" w:eastAsiaTheme="majorEastAsia"/>
                <w:kern w:val="0"/>
                <w:szCs w:val="21"/>
                <w:lang w:bidi="ar"/>
              </w:rPr>
              <w:t>在俄西乡建设日光温室</w:t>
            </w:r>
            <w:r>
              <w:rPr>
                <w:rStyle w:val="277"/>
                <w:rFonts w:eastAsiaTheme="majorEastAsia"/>
                <w:color w:val="auto"/>
                <w:lang w:bidi="ar"/>
              </w:rPr>
              <w:t>20</w:t>
            </w:r>
            <w:r>
              <w:rPr>
                <w:rFonts w:cs="Times New Roman" w:eastAsiaTheme="majorEastAsia"/>
                <w:kern w:val="0"/>
                <w:szCs w:val="21"/>
                <w:lang w:bidi="ar"/>
              </w:rPr>
              <w:t>栋，作为节水灌溉项目及产业园区建设项目的配套工程。</w:t>
            </w:r>
          </w:p>
        </w:tc>
        <w:tc>
          <w:tcPr>
            <w:tcW w:w="431" w:type="pct"/>
            <w:vAlign w:val="center"/>
          </w:tcPr>
          <w:p w14:paraId="512CBE6D">
            <w:pPr>
              <w:jc w:val="center"/>
              <w:textAlignment w:val="center"/>
              <w:rPr>
                <w:rFonts w:cs="Times New Roman" w:eastAsiaTheme="majorEastAsia"/>
                <w:kern w:val="0"/>
                <w:szCs w:val="21"/>
              </w:rPr>
            </w:pPr>
            <w:r>
              <w:rPr>
                <w:rFonts w:cs="Times New Roman" w:eastAsiaTheme="majorEastAsia"/>
                <w:kern w:val="0"/>
                <w:szCs w:val="21"/>
              </w:rPr>
              <w:t>2022~</w:t>
            </w:r>
            <w:r>
              <w:rPr>
                <w:rFonts w:cs="Times New Roman" w:eastAsiaTheme="majorEastAsia"/>
                <w:kern w:val="0"/>
                <w:szCs w:val="21"/>
                <w:lang w:bidi="ar"/>
              </w:rPr>
              <w:t>2023</w:t>
            </w:r>
          </w:p>
        </w:tc>
        <w:tc>
          <w:tcPr>
            <w:tcW w:w="502" w:type="pct"/>
            <w:vAlign w:val="center"/>
          </w:tcPr>
          <w:p w14:paraId="3C923104">
            <w:pPr>
              <w:jc w:val="center"/>
              <w:textAlignment w:val="center"/>
              <w:rPr>
                <w:rFonts w:cs="Times New Roman" w:eastAsiaTheme="majorEastAsia"/>
                <w:kern w:val="0"/>
                <w:szCs w:val="21"/>
                <w:lang w:bidi="ar"/>
              </w:rPr>
            </w:pPr>
            <w:r>
              <w:rPr>
                <w:rFonts w:cs="Times New Roman" w:eastAsiaTheme="majorEastAsia"/>
                <w:kern w:val="0"/>
                <w:szCs w:val="21"/>
                <w:lang w:bidi="ar"/>
              </w:rPr>
              <w:t>俄西乡</w:t>
            </w:r>
          </w:p>
        </w:tc>
        <w:tc>
          <w:tcPr>
            <w:tcW w:w="381" w:type="pct"/>
            <w:noWrap/>
            <w:vAlign w:val="center"/>
          </w:tcPr>
          <w:p w14:paraId="4F6F42FD">
            <w:pPr>
              <w:jc w:val="center"/>
              <w:textAlignment w:val="center"/>
              <w:rPr>
                <w:rFonts w:cs="Times New Roman" w:eastAsiaTheme="majorEastAsia"/>
                <w:kern w:val="0"/>
                <w:szCs w:val="21"/>
              </w:rPr>
            </w:pPr>
            <w:r>
              <w:rPr>
                <w:rFonts w:cs="Times New Roman" w:eastAsiaTheme="majorEastAsia"/>
                <w:kern w:val="0"/>
                <w:szCs w:val="21"/>
                <w:lang w:bidi="ar"/>
              </w:rPr>
              <w:t>300</w:t>
            </w:r>
          </w:p>
        </w:tc>
        <w:tc>
          <w:tcPr>
            <w:tcW w:w="366" w:type="pct"/>
            <w:vAlign w:val="center"/>
          </w:tcPr>
          <w:p w14:paraId="7A69CA42">
            <w:pPr>
              <w:jc w:val="center"/>
              <w:textAlignment w:val="center"/>
              <w:rPr>
                <w:rFonts w:cs="Times New Roman" w:eastAsiaTheme="majorEastAsia"/>
                <w:kern w:val="0"/>
                <w:szCs w:val="21"/>
                <w:lang w:bidi="ar"/>
              </w:rPr>
            </w:pPr>
            <w:r>
              <w:rPr>
                <w:rFonts w:cs="Times New Roman" w:eastAsiaTheme="majorEastAsia"/>
                <w:kern w:val="0"/>
                <w:szCs w:val="21"/>
                <w:lang w:bidi="ar"/>
              </w:rPr>
              <w:t>县农业农村局</w:t>
            </w:r>
          </w:p>
        </w:tc>
      </w:tr>
      <w:tr w14:paraId="6FC9D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259" w:type="pct"/>
            <w:shd w:val="clear" w:color="auto" w:fill="auto"/>
            <w:vAlign w:val="center"/>
          </w:tcPr>
          <w:p w14:paraId="46205C70">
            <w:pPr>
              <w:jc w:val="center"/>
              <w:textAlignment w:val="center"/>
              <w:rPr>
                <w:rFonts w:ascii="宋体" w:hAnsi="宋体" w:eastAsia="宋体"/>
                <w:color w:val="000000"/>
                <w:kern w:val="0"/>
                <w:sz w:val="22"/>
                <w:lang w:bidi="ar"/>
              </w:rPr>
            </w:pPr>
            <w:r>
              <w:rPr>
                <w:rFonts w:hint="eastAsia" w:ascii="宋体" w:hAnsi="宋体" w:eastAsia="宋体"/>
                <w:color w:val="000000"/>
                <w:kern w:val="0"/>
                <w:sz w:val="22"/>
                <w:lang w:bidi="ar"/>
              </w:rPr>
              <w:t>14</w:t>
            </w:r>
          </w:p>
        </w:tc>
        <w:tc>
          <w:tcPr>
            <w:tcW w:w="697" w:type="pct"/>
            <w:shd w:val="clear" w:color="000000" w:fill="FFFFFF"/>
            <w:vAlign w:val="center"/>
          </w:tcPr>
          <w:p w14:paraId="62872215">
            <w:pPr>
              <w:jc w:val="center"/>
              <w:textAlignment w:val="center"/>
              <w:rPr>
                <w:rFonts w:cs="Times New Roman" w:eastAsiaTheme="majorEastAsia"/>
                <w:kern w:val="0"/>
                <w:szCs w:val="21"/>
                <w:lang w:bidi="ar"/>
              </w:rPr>
            </w:pPr>
            <w:r>
              <w:rPr>
                <w:rFonts w:cs="Times New Roman" w:eastAsiaTheme="majorEastAsia"/>
                <w:kern w:val="0"/>
                <w:szCs w:val="21"/>
                <w:lang w:bidi="ar"/>
              </w:rPr>
              <w:t>洛隆县青稞基地种植建设项目</w:t>
            </w:r>
          </w:p>
        </w:tc>
        <w:tc>
          <w:tcPr>
            <w:tcW w:w="228" w:type="pct"/>
            <w:shd w:val="clear" w:color="000000" w:fill="FFFFFF"/>
          </w:tcPr>
          <w:p w14:paraId="753360F5">
            <w:pPr>
              <w:jc w:val="center"/>
              <w:rPr>
                <w:rFonts w:cs="Times New Roman" w:eastAsiaTheme="majorEastAsia"/>
                <w:kern w:val="0"/>
                <w:szCs w:val="21"/>
              </w:rPr>
            </w:pPr>
            <w:r>
              <w:rPr>
                <w:rFonts w:cs="Times New Roman" w:eastAsiaTheme="majorEastAsia"/>
                <w:kern w:val="0"/>
                <w:szCs w:val="21"/>
              </w:rPr>
              <w:t>续建</w:t>
            </w:r>
          </w:p>
        </w:tc>
        <w:tc>
          <w:tcPr>
            <w:tcW w:w="2132" w:type="pct"/>
            <w:shd w:val="clear" w:color="000000" w:fill="FFFFFF"/>
            <w:vAlign w:val="center"/>
          </w:tcPr>
          <w:p w14:paraId="4F1B9555">
            <w:pPr>
              <w:jc w:val="center"/>
              <w:textAlignment w:val="center"/>
              <w:rPr>
                <w:rFonts w:cs="Times New Roman" w:eastAsiaTheme="majorEastAsia"/>
                <w:kern w:val="0"/>
                <w:szCs w:val="21"/>
              </w:rPr>
            </w:pPr>
            <w:r>
              <w:rPr>
                <w:rFonts w:cs="Times New Roman" w:eastAsiaTheme="majorEastAsia"/>
                <w:kern w:val="0"/>
                <w:szCs w:val="21"/>
                <w:lang w:bidi="ar"/>
              </w:rPr>
              <w:t>新建青稞基地约</w:t>
            </w:r>
            <w:r>
              <w:rPr>
                <w:rStyle w:val="356"/>
                <w:rFonts w:hint="default" w:eastAsiaTheme="majorEastAsia"/>
                <w:color w:val="auto"/>
                <w:sz w:val="21"/>
                <w:szCs w:val="21"/>
                <w:lang w:bidi="ar"/>
              </w:rPr>
              <w:t>3000</w:t>
            </w:r>
            <w:r>
              <w:rPr>
                <w:rFonts w:cs="Times New Roman" w:eastAsiaTheme="majorEastAsia"/>
                <w:kern w:val="0"/>
                <w:szCs w:val="21"/>
                <w:lang w:bidi="ar"/>
              </w:rPr>
              <w:t>亩，主要包括土地整治、客土改良、土地平整、修建水渠、水塘、配套网围栏等设施。</w:t>
            </w:r>
          </w:p>
        </w:tc>
        <w:tc>
          <w:tcPr>
            <w:tcW w:w="431" w:type="pct"/>
            <w:vAlign w:val="center"/>
          </w:tcPr>
          <w:p w14:paraId="703CC14E">
            <w:pPr>
              <w:jc w:val="center"/>
              <w:textAlignment w:val="center"/>
              <w:rPr>
                <w:rFonts w:cs="Times New Roman" w:eastAsiaTheme="majorEastAsia"/>
                <w:kern w:val="0"/>
                <w:szCs w:val="21"/>
              </w:rPr>
            </w:pPr>
            <w:r>
              <w:rPr>
                <w:rFonts w:cs="Times New Roman" w:eastAsiaTheme="majorEastAsia"/>
                <w:kern w:val="0"/>
                <w:szCs w:val="21"/>
              </w:rPr>
              <w:t>2022~</w:t>
            </w:r>
            <w:r>
              <w:rPr>
                <w:rFonts w:cs="Times New Roman" w:eastAsiaTheme="majorEastAsia"/>
                <w:kern w:val="0"/>
                <w:szCs w:val="21"/>
                <w:lang w:bidi="ar"/>
              </w:rPr>
              <w:t>2023</w:t>
            </w:r>
          </w:p>
        </w:tc>
        <w:tc>
          <w:tcPr>
            <w:tcW w:w="502" w:type="pct"/>
            <w:vAlign w:val="center"/>
          </w:tcPr>
          <w:p w14:paraId="65D0CEF6">
            <w:pPr>
              <w:jc w:val="center"/>
              <w:textAlignment w:val="center"/>
              <w:rPr>
                <w:rFonts w:cs="Times New Roman" w:eastAsiaTheme="majorEastAsia"/>
                <w:kern w:val="0"/>
                <w:szCs w:val="21"/>
                <w:lang w:bidi="ar"/>
              </w:rPr>
            </w:pPr>
            <w:r>
              <w:rPr>
                <w:rFonts w:cs="Times New Roman" w:eastAsiaTheme="majorEastAsia"/>
                <w:kern w:val="0"/>
                <w:szCs w:val="21"/>
                <w:lang w:bidi="ar"/>
              </w:rPr>
              <w:t>中亦、俄西、硕督、孜托、康沙、马利等乡镇。</w:t>
            </w:r>
          </w:p>
        </w:tc>
        <w:tc>
          <w:tcPr>
            <w:tcW w:w="381" w:type="pct"/>
            <w:noWrap/>
            <w:vAlign w:val="center"/>
          </w:tcPr>
          <w:p w14:paraId="16A09680">
            <w:pPr>
              <w:jc w:val="center"/>
              <w:textAlignment w:val="center"/>
              <w:rPr>
                <w:rFonts w:cs="Times New Roman" w:eastAsiaTheme="majorEastAsia"/>
                <w:kern w:val="0"/>
                <w:szCs w:val="21"/>
              </w:rPr>
            </w:pPr>
            <w:r>
              <w:rPr>
                <w:rFonts w:cs="Times New Roman" w:eastAsiaTheme="majorEastAsia"/>
                <w:kern w:val="0"/>
                <w:szCs w:val="21"/>
                <w:lang w:bidi="ar"/>
              </w:rPr>
              <w:t>1200</w:t>
            </w:r>
          </w:p>
        </w:tc>
        <w:tc>
          <w:tcPr>
            <w:tcW w:w="366" w:type="pct"/>
            <w:vAlign w:val="center"/>
          </w:tcPr>
          <w:p w14:paraId="29BA6BE4">
            <w:pPr>
              <w:jc w:val="center"/>
              <w:textAlignment w:val="center"/>
              <w:rPr>
                <w:rFonts w:cs="Times New Roman" w:eastAsiaTheme="majorEastAsia"/>
                <w:kern w:val="0"/>
                <w:szCs w:val="21"/>
                <w:lang w:bidi="ar"/>
              </w:rPr>
            </w:pPr>
            <w:r>
              <w:rPr>
                <w:rFonts w:cs="Times New Roman" w:eastAsiaTheme="majorEastAsia"/>
                <w:kern w:val="0"/>
                <w:szCs w:val="21"/>
                <w:lang w:bidi="ar"/>
              </w:rPr>
              <w:t>县农业农村局</w:t>
            </w:r>
          </w:p>
        </w:tc>
      </w:tr>
      <w:tr w14:paraId="6E88F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259" w:type="pct"/>
            <w:shd w:val="clear" w:color="auto" w:fill="auto"/>
            <w:vAlign w:val="center"/>
          </w:tcPr>
          <w:p w14:paraId="2D473EC8">
            <w:pPr>
              <w:jc w:val="center"/>
              <w:textAlignment w:val="center"/>
              <w:rPr>
                <w:rFonts w:ascii="宋体" w:hAnsi="宋体" w:eastAsia="宋体"/>
                <w:color w:val="000000"/>
                <w:kern w:val="0"/>
                <w:sz w:val="22"/>
                <w:lang w:bidi="ar"/>
              </w:rPr>
            </w:pPr>
            <w:r>
              <w:rPr>
                <w:rFonts w:hint="eastAsia" w:ascii="宋体" w:hAnsi="宋体" w:eastAsia="宋体"/>
                <w:color w:val="000000"/>
                <w:kern w:val="0"/>
                <w:sz w:val="22"/>
                <w:lang w:bidi="ar"/>
              </w:rPr>
              <w:t>15</w:t>
            </w:r>
          </w:p>
        </w:tc>
        <w:tc>
          <w:tcPr>
            <w:tcW w:w="697" w:type="pct"/>
            <w:shd w:val="clear" w:color="000000" w:fill="FFFFFF"/>
            <w:vAlign w:val="center"/>
          </w:tcPr>
          <w:p w14:paraId="21403BBA">
            <w:pPr>
              <w:jc w:val="center"/>
              <w:textAlignment w:val="center"/>
              <w:rPr>
                <w:rFonts w:cs="Times New Roman" w:eastAsiaTheme="majorEastAsia"/>
                <w:kern w:val="0"/>
                <w:szCs w:val="21"/>
                <w:lang w:bidi="ar"/>
              </w:rPr>
            </w:pPr>
            <w:r>
              <w:rPr>
                <w:rFonts w:cs="Times New Roman" w:eastAsiaTheme="majorEastAsia"/>
                <w:kern w:val="0"/>
                <w:szCs w:val="21"/>
                <w:lang w:bidi="ar"/>
              </w:rPr>
              <w:t>洛隆县达龙乡经济林木建设项目附属工程</w:t>
            </w:r>
          </w:p>
        </w:tc>
        <w:tc>
          <w:tcPr>
            <w:tcW w:w="228" w:type="pct"/>
            <w:shd w:val="clear" w:color="000000" w:fill="FFFFFF"/>
          </w:tcPr>
          <w:p w14:paraId="38400378">
            <w:pPr>
              <w:jc w:val="center"/>
              <w:rPr>
                <w:rFonts w:cs="Times New Roman" w:eastAsiaTheme="majorEastAsia"/>
                <w:kern w:val="0"/>
                <w:szCs w:val="21"/>
              </w:rPr>
            </w:pPr>
            <w:r>
              <w:rPr>
                <w:rFonts w:cs="Times New Roman" w:eastAsiaTheme="majorEastAsia"/>
                <w:kern w:val="0"/>
                <w:szCs w:val="21"/>
              </w:rPr>
              <w:t>续建</w:t>
            </w:r>
          </w:p>
        </w:tc>
        <w:tc>
          <w:tcPr>
            <w:tcW w:w="2132" w:type="pct"/>
            <w:shd w:val="clear" w:color="000000" w:fill="FFFFFF"/>
            <w:vAlign w:val="center"/>
          </w:tcPr>
          <w:p w14:paraId="0AD1F594">
            <w:pPr>
              <w:jc w:val="center"/>
              <w:textAlignment w:val="center"/>
              <w:rPr>
                <w:rFonts w:cs="Times New Roman" w:eastAsiaTheme="majorEastAsia"/>
                <w:kern w:val="0"/>
                <w:szCs w:val="21"/>
              </w:rPr>
            </w:pPr>
            <w:r>
              <w:rPr>
                <w:rFonts w:cs="Times New Roman" w:eastAsiaTheme="majorEastAsia"/>
                <w:kern w:val="0"/>
                <w:szCs w:val="21"/>
                <w:lang w:bidi="ar"/>
              </w:rPr>
              <w:t>从达龙乡达曲河处引水到达龙乡经济林木，距离约</w:t>
            </w:r>
            <w:r>
              <w:rPr>
                <w:rStyle w:val="356"/>
                <w:rFonts w:hint="default" w:eastAsiaTheme="majorEastAsia"/>
                <w:color w:val="auto"/>
                <w:sz w:val="21"/>
                <w:szCs w:val="21"/>
                <w:lang w:bidi="ar"/>
              </w:rPr>
              <w:t>6</w:t>
            </w:r>
            <w:r>
              <w:rPr>
                <w:rFonts w:cs="Times New Roman" w:eastAsiaTheme="majorEastAsia"/>
                <w:kern w:val="0"/>
                <w:szCs w:val="21"/>
                <w:lang w:bidi="ar"/>
              </w:rPr>
              <w:t>公里，采用</w:t>
            </w:r>
            <w:r>
              <w:rPr>
                <w:rStyle w:val="356"/>
                <w:rFonts w:hint="default" w:eastAsiaTheme="majorEastAsia"/>
                <w:color w:val="auto"/>
                <w:sz w:val="21"/>
                <w:szCs w:val="21"/>
                <w:lang w:bidi="ar"/>
              </w:rPr>
              <w:t>PE</w:t>
            </w:r>
            <w:r>
              <w:rPr>
                <w:rFonts w:cs="Times New Roman" w:eastAsiaTheme="majorEastAsia"/>
                <w:kern w:val="0"/>
                <w:szCs w:val="21"/>
                <w:lang w:bidi="ar"/>
              </w:rPr>
              <w:t>管，完善相关附属工程</w:t>
            </w:r>
          </w:p>
        </w:tc>
        <w:tc>
          <w:tcPr>
            <w:tcW w:w="431" w:type="pct"/>
            <w:vAlign w:val="center"/>
          </w:tcPr>
          <w:p w14:paraId="33C6E038">
            <w:pPr>
              <w:jc w:val="center"/>
              <w:textAlignment w:val="center"/>
              <w:rPr>
                <w:rFonts w:cs="Times New Roman" w:eastAsiaTheme="majorEastAsia"/>
                <w:kern w:val="0"/>
                <w:szCs w:val="21"/>
              </w:rPr>
            </w:pPr>
            <w:r>
              <w:rPr>
                <w:rFonts w:cs="Times New Roman" w:eastAsiaTheme="majorEastAsia"/>
                <w:kern w:val="0"/>
                <w:szCs w:val="21"/>
              </w:rPr>
              <w:t>2022~</w:t>
            </w:r>
            <w:r>
              <w:rPr>
                <w:rFonts w:cs="Times New Roman" w:eastAsiaTheme="majorEastAsia"/>
                <w:kern w:val="0"/>
                <w:szCs w:val="21"/>
                <w:lang w:bidi="ar"/>
              </w:rPr>
              <w:t>2023</w:t>
            </w:r>
          </w:p>
        </w:tc>
        <w:tc>
          <w:tcPr>
            <w:tcW w:w="502" w:type="pct"/>
            <w:vAlign w:val="center"/>
          </w:tcPr>
          <w:p w14:paraId="6F9499AF">
            <w:pPr>
              <w:jc w:val="center"/>
              <w:textAlignment w:val="center"/>
              <w:rPr>
                <w:rFonts w:cs="Times New Roman" w:eastAsiaTheme="majorEastAsia"/>
                <w:kern w:val="0"/>
                <w:szCs w:val="21"/>
                <w:lang w:bidi="ar"/>
              </w:rPr>
            </w:pPr>
            <w:r>
              <w:rPr>
                <w:rFonts w:cs="Times New Roman" w:eastAsiaTheme="majorEastAsia"/>
                <w:kern w:val="0"/>
                <w:szCs w:val="21"/>
                <w:lang w:bidi="ar"/>
              </w:rPr>
              <w:t>达龙乡</w:t>
            </w:r>
          </w:p>
        </w:tc>
        <w:tc>
          <w:tcPr>
            <w:tcW w:w="381" w:type="pct"/>
            <w:noWrap/>
            <w:vAlign w:val="center"/>
          </w:tcPr>
          <w:p w14:paraId="32D8CA82">
            <w:pPr>
              <w:jc w:val="center"/>
              <w:textAlignment w:val="center"/>
              <w:rPr>
                <w:rFonts w:cs="Times New Roman" w:eastAsiaTheme="majorEastAsia"/>
                <w:kern w:val="0"/>
                <w:szCs w:val="21"/>
              </w:rPr>
            </w:pPr>
            <w:r>
              <w:rPr>
                <w:rFonts w:cs="Times New Roman" w:eastAsiaTheme="majorEastAsia"/>
                <w:kern w:val="0"/>
                <w:szCs w:val="21"/>
                <w:lang w:bidi="ar"/>
              </w:rPr>
              <w:t>173</w:t>
            </w:r>
          </w:p>
        </w:tc>
        <w:tc>
          <w:tcPr>
            <w:tcW w:w="366" w:type="pct"/>
            <w:vAlign w:val="center"/>
          </w:tcPr>
          <w:p w14:paraId="41DDA17D">
            <w:pPr>
              <w:jc w:val="center"/>
              <w:textAlignment w:val="center"/>
              <w:rPr>
                <w:rFonts w:cs="Times New Roman" w:eastAsiaTheme="majorEastAsia"/>
                <w:kern w:val="0"/>
                <w:szCs w:val="21"/>
                <w:lang w:bidi="ar"/>
              </w:rPr>
            </w:pPr>
            <w:r>
              <w:rPr>
                <w:rFonts w:cs="Times New Roman" w:eastAsiaTheme="majorEastAsia"/>
                <w:kern w:val="0"/>
                <w:szCs w:val="21"/>
                <w:lang w:bidi="ar"/>
              </w:rPr>
              <w:t>县农业农村局</w:t>
            </w:r>
          </w:p>
        </w:tc>
      </w:tr>
      <w:tr w14:paraId="4E028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jc w:val="center"/>
        </w:trPr>
        <w:tc>
          <w:tcPr>
            <w:tcW w:w="259" w:type="pct"/>
            <w:shd w:val="clear" w:color="auto" w:fill="auto"/>
            <w:vAlign w:val="center"/>
          </w:tcPr>
          <w:p w14:paraId="1888B5B7">
            <w:pPr>
              <w:jc w:val="center"/>
              <w:textAlignment w:val="center"/>
              <w:rPr>
                <w:rFonts w:ascii="宋体" w:hAnsi="宋体" w:eastAsia="宋体"/>
                <w:color w:val="000000"/>
                <w:kern w:val="0"/>
                <w:sz w:val="22"/>
                <w:lang w:bidi="ar"/>
              </w:rPr>
            </w:pPr>
            <w:r>
              <w:rPr>
                <w:rFonts w:hint="eastAsia" w:ascii="宋体" w:hAnsi="宋体" w:eastAsia="宋体"/>
                <w:color w:val="000000"/>
                <w:kern w:val="0"/>
                <w:sz w:val="22"/>
                <w:lang w:bidi="ar"/>
              </w:rPr>
              <w:t>16</w:t>
            </w:r>
          </w:p>
        </w:tc>
        <w:tc>
          <w:tcPr>
            <w:tcW w:w="697" w:type="pct"/>
            <w:shd w:val="clear" w:color="000000" w:fill="FFFFFF"/>
            <w:vAlign w:val="center"/>
          </w:tcPr>
          <w:p w14:paraId="4FAFDC9C">
            <w:pPr>
              <w:jc w:val="center"/>
              <w:textAlignment w:val="center"/>
              <w:rPr>
                <w:rFonts w:cs="Times New Roman" w:eastAsiaTheme="majorEastAsia"/>
                <w:kern w:val="0"/>
                <w:szCs w:val="21"/>
                <w:lang w:bidi="ar"/>
              </w:rPr>
            </w:pPr>
            <w:r>
              <w:rPr>
                <w:rFonts w:cs="Times New Roman" w:eastAsiaTheme="majorEastAsia"/>
                <w:kern w:val="0"/>
                <w:szCs w:val="21"/>
                <w:lang w:bidi="ar"/>
              </w:rPr>
              <w:t>洛隆县饲草种植基地建设项目</w:t>
            </w:r>
          </w:p>
        </w:tc>
        <w:tc>
          <w:tcPr>
            <w:tcW w:w="228" w:type="pct"/>
            <w:shd w:val="clear" w:color="000000" w:fill="FFFFFF"/>
          </w:tcPr>
          <w:p w14:paraId="28AF302E">
            <w:pPr>
              <w:jc w:val="center"/>
              <w:rPr>
                <w:rFonts w:cs="Times New Roman" w:eastAsiaTheme="majorEastAsia"/>
                <w:kern w:val="0"/>
                <w:szCs w:val="21"/>
              </w:rPr>
            </w:pPr>
            <w:r>
              <w:rPr>
                <w:rFonts w:cs="Times New Roman" w:eastAsiaTheme="majorEastAsia"/>
                <w:kern w:val="0"/>
                <w:szCs w:val="21"/>
              </w:rPr>
              <w:t>续建</w:t>
            </w:r>
          </w:p>
        </w:tc>
        <w:tc>
          <w:tcPr>
            <w:tcW w:w="2132" w:type="pct"/>
            <w:shd w:val="clear" w:color="000000" w:fill="FFFFFF"/>
            <w:vAlign w:val="center"/>
          </w:tcPr>
          <w:p w14:paraId="63D81094">
            <w:pPr>
              <w:jc w:val="center"/>
              <w:textAlignment w:val="center"/>
              <w:rPr>
                <w:rFonts w:cs="Times New Roman" w:eastAsiaTheme="majorEastAsia"/>
                <w:kern w:val="0"/>
                <w:szCs w:val="21"/>
              </w:rPr>
            </w:pPr>
            <w:r>
              <w:rPr>
                <w:rFonts w:cs="Times New Roman" w:eastAsiaTheme="majorEastAsia"/>
                <w:kern w:val="0"/>
                <w:szCs w:val="21"/>
                <w:lang w:bidi="ar"/>
              </w:rPr>
              <w:t>种植饲草约</w:t>
            </w:r>
            <w:r>
              <w:rPr>
                <w:rStyle w:val="356"/>
                <w:rFonts w:hint="default" w:eastAsiaTheme="majorEastAsia"/>
                <w:color w:val="auto"/>
                <w:sz w:val="21"/>
                <w:szCs w:val="21"/>
                <w:lang w:bidi="ar"/>
              </w:rPr>
              <w:t>3000</w:t>
            </w:r>
            <w:r>
              <w:rPr>
                <w:rFonts w:cs="Times New Roman" w:eastAsiaTheme="majorEastAsia"/>
                <w:kern w:val="0"/>
                <w:szCs w:val="21"/>
                <w:lang w:bidi="ar"/>
              </w:rPr>
              <w:t>亩，购置相关设备设施、完善水渠等。</w:t>
            </w:r>
          </w:p>
        </w:tc>
        <w:tc>
          <w:tcPr>
            <w:tcW w:w="431" w:type="pct"/>
            <w:vAlign w:val="center"/>
          </w:tcPr>
          <w:p w14:paraId="7300DC9F">
            <w:pPr>
              <w:jc w:val="center"/>
              <w:textAlignment w:val="center"/>
              <w:rPr>
                <w:rFonts w:cs="Times New Roman" w:eastAsiaTheme="majorEastAsia"/>
                <w:kern w:val="0"/>
                <w:szCs w:val="21"/>
              </w:rPr>
            </w:pPr>
            <w:r>
              <w:rPr>
                <w:rFonts w:cs="Times New Roman" w:eastAsiaTheme="majorEastAsia"/>
                <w:kern w:val="0"/>
                <w:szCs w:val="21"/>
              </w:rPr>
              <w:t>2022~</w:t>
            </w:r>
            <w:r>
              <w:rPr>
                <w:rFonts w:cs="Times New Roman" w:eastAsiaTheme="majorEastAsia"/>
                <w:kern w:val="0"/>
                <w:szCs w:val="21"/>
                <w:lang w:bidi="ar"/>
              </w:rPr>
              <w:t>2023</w:t>
            </w:r>
          </w:p>
        </w:tc>
        <w:tc>
          <w:tcPr>
            <w:tcW w:w="502" w:type="pct"/>
            <w:vAlign w:val="center"/>
          </w:tcPr>
          <w:p w14:paraId="031CBE52">
            <w:pPr>
              <w:jc w:val="center"/>
              <w:textAlignment w:val="center"/>
              <w:rPr>
                <w:rFonts w:cs="Times New Roman" w:eastAsiaTheme="majorEastAsia"/>
                <w:kern w:val="0"/>
                <w:szCs w:val="21"/>
                <w:lang w:bidi="ar"/>
              </w:rPr>
            </w:pPr>
            <w:r>
              <w:rPr>
                <w:rFonts w:cs="Times New Roman" w:eastAsiaTheme="majorEastAsia"/>
                <w:kern w:val="0"/>
                <w:szCs w:val="21"/>
                <w:lang w:bidi="ar"/>
              </w:rPr>
              <w:t>腊久、孜托、俄西乡、中亦等乡镇</w:t>
            </w:r>
          </w:p>
        </w:tc>
        <w:tc>
          <w:tcPr>
            <w:tcW w:w="381" w:type="pct"/>
            <w:noWrap/>
            <w:vAlign w:val="center"/>
          </w:tcPr>
          <w:p w14:paraId="00BDFB54">
            <w:pPr>
              <w:jc w:val="center"/>
              <w:textAlignment w:val="center"/>
              <w:rPr>
                <w:rFonts w:cs="Times New Roman" w:eastAsiaTheme="majorEastAsia"/>
                <w:kern w:val="0"/>
                <w:szCs w:val="21"/>
              </w:rPr>
            </w:pPr>
            <w:r>
              <w:rPr>
                <w:rFonts w:cs="Times New Roman" w:eastAsiaTheme="majorEastAsia"/>
                <w:kern w:val="0"/>
                <w:szCs w:val="21"/>
                <w:lang w:bidi="ar"/>
              </w:rPr>
              <w:t>800</w:t>
            </w:r>
          </w:p>
        </w:tc>
        <w:tc>
          <w:tcPr>
            <w:tcW w:w="366" w:type="pct"/>
            <w:vAlign w:val="center"/>
          </w:tcPr>
          <w:p w14:paraId="135F6717">
            <w:pPr>
              <w:jc w:val="center"/>
              <w:textAlignment w:val="center"/>
              <w:rPr>
                <w:rFonts w:cs="Times New Roman" w:eastAsiaTheme="majorEastAsia"/>
                <w:kern w:val="0"/>
                <w:szCs w:val="21"/>
                <w:lang w:bidi="ar"/>
              </w:rPr>
            </w:pPr>
            <w:r>
              <w:rPr>
                <w:rFonts w:cs="Times New Roman" w:eastAsiaTheme="majorEastAsia"/>
                <w:kern w:val="0"/>
                <w:szCs w:val="21"/>
                <w:lang w:bidi="ar"/>
              </w:rPr>
              <w:t>县农业农村局</w:t>
            </w:r>
          </w:p>
        </w:tc>
      </w:tr>
      <w:tr w14:paraId="6D735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jc w:val="center"/>
        </w:trPr>
        <w:tc>
          <w:tcPr>
            <w:tcW w:w="259" w:type="pct"/>
            <w:shd w:val="clear" w:color="auto" w:fill="auto"/>
            <w:vAlign w:val="center"/>
          </w:tcPr>
          <w:p w14:paraId="5355753E">
            <w:pPr>
              <w:jc w:val="center"/>
              <w:textAlignment w:val="center"/>
              <w:rPr>
                <w:rFonts w:ascii="宋体" w:hAnsi="宋体" w:eastAsia="宋体"/>
                <w:color w:val="000000"/>
                <w:kern w:val="0"/>
                <w:sz w:val="22"/>
                <w:lang w:bidi="ar"/>
              </w:rPr>
            </w:pPr>
            <w:r>
              <w:rPr>
                <w:rFonts w:hint="eastAsia" w:ascii="宋体" w:hAnsi="宋体" w:eastAsia="宋体"/>
                <w:color w:val="000000"/>
                <w:kern w:val="0"/>
                <w:sz w:val="22"/>
                <w:lang w:bidi="ar"/>
              </w:rPr>
              <w:t>17</w:t>
            </w:r>
          </w:p>
        </w:tc>
        <w:tc>
          <w:tcPr>
            <w:tcW w:w="697" w:type="pct"/>
            <w:shd w:val="clear" w:color="000000" w:fill="FFFFFF"/>
            <w:vAlign w:val="center"/>
          </w:tcPr>
          <w:p w14:paraId="107FAFC8">
            <w:pPr>
              <w:jc w:val="center"/>
              <w:textAlignment w:val="center"/>
              <w:rPr>
                <w:rFonts w:cs="Times New Roman" w:eastAsiaTheme="majorEastAsia"/>
                <w:kern w:val="0"/>
                <w:szCs w:val="21"/>
                <w:lang w:bidi="ar"/>
              </w:rPr>
            </w:pPr>
            <w:r>
              <w:rPr>
                <w:rFonts w:cs="Times New Roman" w:eastAsiaTheme="majorEastAsia"/>
                <w:kern w:val="0"/>
                <w:szCs w:val="21"/>
                <w:lang w:bidi="ar"/>
              </w:rPr>
              <w:t>洛隆县农产品品牌建设项目</w:t>
            </w:r>
          </w:p>
        </w:tc>
        <w:tc>
          <w:tcPr>
            <w:tcW w:w="228" w:type="pct"/>
            <w:shd w:val="clear" w:color="000000" w:fill="FFFFFF"/>
          </w:tcPr>
          <w:p w14:paraId="0D87407C">
            <w:pPr>
              <w:jc w:val="center"/>
              <w:rPr>
                <w:rFonts w:cs="Times New Roman" w:eastAsiaTheme="majorEastAsia"/>
                <w:kern w:val="0"/>
                <w:szCs w:val="21"/>
              </w:rPr>
            </w:pPr>
            <w:r>
              <w:rPr>
                <w:rFonts w:cs="Times New Roman" w:eastAsiaTheme="majorEastAsia"/>
                <w:kern w:val="0"/>
                <w:szCs w:val="21"/>
              </w:rPr>
              <w:t>续建</w:t>
            </w:r>
          </w:p>
        </w:tc>
        <w:tc>
          <w:tcPr>
            <w:tcW w:w="2132" w:type="pct"/>
            <w:shd w:val="clear" w:color="000000" w:fill="FFFFFF"/>
            <w:vAlign w:val="center"/>
          </w:tcPr>
          <w:p w14:paraId="18C18AB3">
            <w:pPr>
              <w:jc w:val="center"/>
              <w:textAlignment w:val="center"/>
              <w:rPr>
                <w:rFonts w:cs="Times New Roman" w:eastAsiaTheme="majorEastAsia"/>
                <w:kern w:val="0"/>
                <w:szCs w:val="21"/>
              </w:rPr>
            </w:pPr>
            <w:r>
              <w:rPr>
                <w:rFonts w:cs="Times New Roman" w:eastAsiaTheme="majorEastAsia"/>
                <w:kern w:val="0"/>
                <w:szCs w:val="21"/>
                <w:lang w:bidi="ar"/>
              </w:rPr>
              <w:t>针对洛隆县青稞、牦牛、藏猪等特色农产品原产地，就地实施以合作社经营的方式开展农产品的绿色食品、有机产品、地理性标志证明商标等进行分批次申报认证，鼓励扶持以合作社的形式集中组织品种推广、原种保护、检测认证等工作。扶持合作社</w:t>
            </w:r>
            <w:r>
              <w:rPr>
                <w:rStyle w:val="356"/>
                <w:rFonts w:hint="default" w:eastAsiaTheme="majorEastAsia"/>
                <w:color w:val="auto"/>
                <w:sz w:val="21"/>
                <w:szCs w:val="21"/>
                <w:lang w:bidi="ar"/>
              </w:rPr>
              <w:t>30</w:t>
            </w:r>
            <w:r>
              <w:rPr>
                <w:rFonts w:cs="Times New Roman" w:eastAsiaTheme="majorEastAsia"/>
                <w:kern w:val="0"/>
                <w:szCs w:val="21"/>
                <w:lang w:bidi="ar"/>
              </w:rPr>
              <w:t>家，每个合作社给予</w:t>
            </w:r>
            <w:r>
              <w:rPr>
                <w:rStyle w:val="356"/>
                <w:rFonts w:hint="default" w:eastAsiaTheme="majorEastAsia"/>
                <w:color w:val="auto"/>
                <w:sz w:val="21"/>
                <w:szCs w:val="21"/>
                <w:lang w:bidi="ar"/>
              </w:rPr>
              <w:t>15</w:t>
            </w:r>
            <w:r>
              <w:rPr>
                <w:rFonts w:cs="Times New Roman" w:eastAsiaTheme="majorEastAsia"/>
                <w:kern w:val="0"/>
                <w:szCs w:val="21"/>
                <w:lang w:bidi="ar"/>
              </w:rPr>
              <w:t>万元的资金补助专用于农产品的品牌建设。</w:t>
            </w:r>
          </w:p>
        </w:tc>
        <w:tc>
          <w:tcPr>
            <w:tcW w:w="431" w:type="pct"/>
            <w:vAlign w:val="center"/>
          </w:tcPr>
          <w:p w14:paraId="53F2AA9A">
            <w:pPr>
              <w:jc w:val="center"/>
              <w:textAlignment w:val="center"/>
              <w:rPr>
                <w:rFonts w:cs="Times New Roman" w:eastAsiaTheme="majorEastAsia"/>
                <w:kern w:val="0"/>
                <w:szCs w:val="21"/>
              </w:rPr>
            </w:pPr>
            <w:r>
              <w:rPr>
                <w:rFonts w:cs="Times New Roman" w:eastAsiaTheme="majorEastAsia"/>
                <w:kern w:val="0"/>
                <w:szCs w:val="21"/>
              </w:rPr>
              <w:t>2022~</w:t>
            </w:r>
            <w:r>
              <w:rPr>
                <w:rFonts w:cs="Times New Roman" w:eastAsiaTheme="majorEastAsia"/>
                <w:kern w:val="0"/>
                <w:szCs w:val="21"/>
                <w:lang w:bidi="ar"/>
              </w:rPr>
              <w:t>2024</w:t>
            </w:r>
          </w:p>
        </w:tc>
        <w:tc>
          <w:tcPr>
            <w:tcW w:w="502" w:type="pct"/>
            <w:vAlign w:val="center"/>
          </w:tcPr>
          <w:p w14:paraId="1F87AAEB">
            <w:pPr>
              <w:jc w:val="center"/>
              <w:textAlignment w:val="center"/>
              <w:rPr>
                <w:rFonts w:cs="Times New Roman" w:eastAsiaTheme="majorEastAsia"/>
                <w:kern w:val="0"/>
                <w:szCs w:val="21"/>
                <w:lang w:bidi="ar"/>
              </w:rPr>
            </w:pPr>
            <w:r>
              <w:rPr>
                <w:rFonts w:cs="Times New Roman" w:eastAsiaTheme="majorEastAsia"/>
                <w:kern w:val="0"/>
                <w:szCs w:val="21"/>
                <w:lang w:bidi="ar"/>
              </w:rPr>
              <w:t>11乡镇</w:t>
            </w:r>
          </w:p>
        </w:tc>
        <w:tc>
          <w:tcPr>
            <w:tcW w:w="381" w:type="pct"/>
            <w:noWrap/>
            <w:vAlign w:val="center"/>
          </w:tcPr>
          <w:p w14:paraId="32B4AC19">
            <w:pPr>
              <w:jc w:val="center"/>
              <w:textAlignment w:val="center"/>
              <w:rPr>
                <w:rFonts w:cs="Times New Roman" w:eastAsiaTheme="majorEastAsia"/>
                <w:kern w:val="0"/>
                <w:szCs w:val="21"/>
              </w:rPr>
            </w:pPr>
            <w:r>
              <w:rPr>
                <w:rFonts w:cs="Times New Roman" w:eastAsiaTheme="majorEastAsia"/>
                <w:kern w:val="0"/>
                <w:szCs w:val="21"/>
                <w:lang w:bidi="ar"/>
              </w:rPr>
              <w:t>500</w:t>
            </w:r>
          </w:p>
        </w:tc>
        <w:tc>
          <w:tcPr>
            <w:tcW w:w="366" w:type="pct"/>
            <w:vAlign w:val="center"/>
          </w:tcPr>
          <w:p w14:paraId="583B13CC">
            <w:pPr>
              <w:jc w:val="center"/>
              <w:textAlignment w:val="center"/>
              <w:rPr>
                <w:rFonts w:cs="Times New Roman" w:eastAsiaTheme="majorEastAsia"/>
                <w:kern w:val="0"/>
                <w:szCs w:val="21"/>
                <w:lang w:bidi="ar"/>
              </w:rPr>
            </w:pPr>
            <w:r>
              <w:rPr>
                <w:rFonts w:cs="Times New Roman" w:eastAsiaTheme="majorEastAsia"/>
                <w:kern w:val="0"/>
                <w:szCs w:val="21"/>
                <w:lang w:bidi="ar"/>
              </w:rPr>
              <w:t>县农业农村局</w:t>
            </w:r>
          </w:p>
        </w:tc>
      </w:tr>
      <w:tr w14:paraId="10299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jc w:val="center"/>
        </w:trPr>
        <w:tc>
          <w:tcPr>
            <w:tcW w:w="259" w:type="pct"/>
            <w:shd w:val="clear" w:color="auto" w:fill="auto"/>
            <w:vAlign w:val="center"/>
          </w:tcPr>
          <w:p w14:paraId="7C9E01CF">
            <w:pPr>
              <w:jc w:val="center"/>
              <w:textAlignment w:val="center"/>
              <w:rPr>
                <w:rFonts w:ascii="宋体" w:hAnsi="宋体" w:eastAsia="宋体"/>
                <w:color w:val="000000"/>
                <w:kern w:val="0"/>
                <w:sz w:val="22"/>
                <w:lang w:bidi="ar"/>
              </w:rPr>
            </w:pPr>
            <w:r>
              <w:rPr>
                <w:rFonts w:hint="eastAsia" w:ascii="宋体" w:hAnsi="宋体" w:eastAsia="宋体"/>
                <w:color w:val="000000"/>
                <w:kern w:val="0"/>
                <w:sz w:val="22"/>
                <w:lang w:bidi="ar"/>
              </w:rPr>
              <w:t>18</w:t>
            </w:r>
          </w:p>
        </w:tc>
        <w:tc>
          <w:tcPr>
            <w:tcW w:w="697" w:type="pct"/>
            <w:shd w:val="clear" w:color="000000" w:fill="FFFFFF"/>
            <w:vAlign w:val="center"/>
          </w:tcPr>
          <w:p w14:paraId="54B85151">
            <w:pPr>
              <w:jc w:val="center"/>
              <w:textAlignment w:val="center"/>
              <w:rPr>
                <w:rFonts w:cs="Times New Roman" w:eastAsiaTheme="majorEastAsia"/>
                <w:kern w:val="0"/>
                <w:szCs w:val="21"/>
                <w:lang w:bidi="ar"/>
              </w:rPr>
            </w:pPr>
            <w:r>
              <w:rPr>
                <w:rFonts w:cs="Times New Roman" w:eastAsiaTheme="majorEastAsia"/>
                <w:kern w:val="0"/>
                <w:szCs w:val="21"/>
                <w:lang w:bidi="ar"/>
              </w:rPr>
              <w:t>洛隆县腊久乡</w:t>
            </w:r>
          </w:p>
          <w:p w14:paraId="3E1478A7">
            <w:pPr>
              <w:jc w:val="center"/>
              <w:textAlignment w:val="center"/>
              <w:rPr>
                <w:rFonts w:cs="Times New Roman" w:eastAsiaTheme="majorEastAsia"/>
                <w:kern w:val="0"/>
                <w:szCs w:val="21"/>
                <w:lang w:bidi="ar"/>
              </w:rPr>
            </w:pPr>
            <w:r>
              <w:rPr>
                <w:rFonts w:cs="Times New Roman" w:eastAsiaTheme="majorEastAsia"/>
                <w:kern w:val="0"/>
                <w:szCs w:val="21"/>
                <w:lang w:bidi="ar"/>
              </w:rPr>
              <w:t>经济林项目</w:t>
            </w:r>
          </w:p>
        </w:tc>
        <w:tc>
          <w:tcPr>
            <w:tcW w:w="228" w:type="pct"/>
            <w:shd w:val="clear" w:color="000000" w:fill="FFFFFF"/>
          </w:tcPr>
          <w:p w14:paraId="32656B8C">
            <w:pPr>
              <w:jc w:val="center"/>
              <w:rPr>
                <w:rFonts w:cs="Times New Roman" w:eastAsiaTheme="majorEastAsia"/>
                <w:kern w:val="0"/>
                <w:szCs w:val="21"/>
              </w:rPr>
            </w:pPr>
            <w:r>
              <w:rPr>
                <w:rFonts w:cs="Times New Roman" w:eastAsiaTheme="majorEastAsia"/>
                <w:kern w:val="0"/>
                <w:szCs w:val="21"/>
              </w:rPr>
              <w:t>续建</w:t>
            </w:r>
          </w:p>
        </w:tc>
        <w:tc>
          <w:tcPr>
            <w:tcW w:w="2132" w:type="pct"/>
            <w:shd w:val="clear" w:color="000000" w:fill="FFFFFF"/>
            <w:vAlign w:val="center"/>
          </w:tcPr>
          <w:p w14:paraId="77DB9B45">
            <w:pPr>
              <w:jc w:val="center"/>
              <w:textAlignment w:val="center"/>
              <w:rPr>
                <w:rFonts w:cs="Times New Roman" w:eastAsiaTheme="majorEastAsia"/>
                <w:kern w:val="0"/>
                <w:szCs w:val="21"/>
              </w:rPr>
            </w:pPr>
            <w:r>
              <w:rPr>
                <w:rFonts w:cs="Times New Roman" w:eastAsiaTheme="majorEastAsia"/>
                <w:kern w:val="0"/>
                <w:szCs w:val="21"/>
                <w:lang w:bidi="ar"/>
              </w:rPr>
              <w:t>在腊久乡江云行政村种植山杏、核桃、车厘子等果树约</w:t>
            </w:r>
            <w:r>
              <w:rPr>
                <w:rStyle w:val="356"/>
                <w:rFonts w:hint="default" w:eastAsiaTheme="majorEastAsia"/>
                <w:color w:val="auto"/>
                <w:sz w:val="21"/>
                <w:szCs w:val="21"/>
                <w:lang w:bidi="ar"/>
              </w:rPr>
              <w:t>20000</w:t>
            </w:r>
            <w:r>
              <w:rPr>
                <w:rFonts w:cs="Times New Roman" w:eastAsiaTheme="majorEastAsia"/>
                <w:kern w:val="0"/>
                <w:szCs w:val="21"/>
                <w:lang w:bidi="ar"/>
              </w:rPr>
              <w:t>余棵，建设管理用房、蓄水池等基础设施，总占地面积约</w:t>
            </w:r>
            <w:r>
              <w:rPr>
                <w:rStyle w:val="356"/>
                <w:rFonts w:hint="default" w:eastAsiaTheme="majorEastAsia"/>
                <w:color w:val="auto"/>
                <w:sz w:val="21"/>
                <w:szCs w:val="21"/>
                <w:lang w:bidi="ar"/>
              </w:rPr>
              <w:t>340</w:t>
            </w:r>
            <w:r>
              <w:rPr>
                <w:rFonts w:cs="Times New Roman" w:eastAsiaTheme="majorEastAsia"/>
                <w:kern w:val="0"/>
                <w:szCs w:val="21"/>
                <w:lang w:bidi="ar"/>
              </w:rPr>
              <w:t>亩，并完善相关附属设施。</w:t>
            </w:r>
          </w:p>
        </w:tc>
        <w:tc>
          <w:tcPr>
            <w:tcW w:w="431" w:type="pct"/>
            <w:vAlign w:val="center"/>
          </w:tcPr>
          <w:p w14:paraId="3EE095DC">
            <w:pPr>
              <w:jc w:val="center"/>
              <w:textAlignment w:val="center"/>
              <w:rPr>
                <w:rFonts w:cs="Times New Roman" w:eastAsiaTheme="majorEastAsia"/>
                <w:kern w:val="0"/>
                <w:szCs w:val="21"/>
              </w:rPr>
            </w:pPr>
            <w:r>
              <w:rPr>
                <w:rFonts w:cs="Times New Roman" w:eastAsiaTheme="majorEastAsia"/>
                <w:kern w:val="0"/>
                <w:szCs w:val="21"/>
              </w:rPr>
              <w:t>2022~</w:t>
            </w:r>
            <w:r>
              <w:rPr>
                <w:rFonts w:cs="Times New Roman" w:eastAsiaTheme="majorEastAsia"/>
                <w:kern w:val="0"/>
                <w:szCs w:val="21"/>
                <w:lang w:bidi="ar"/>
              </w:rPr>
              <w:t>2024</w:t>
            </w:r>
          </w:p>
        </w:tc>
        <w:tc>
          <w:tcPr>
            <w:tcW w:w="502" w:type="pct"/>
            <w:vAlign w:val="center"/>
          </w:tcPr>
          <w:p w14:paraId="48E1F30F">
            <w:pPr>
              <w:jc w:val="center"/>
              <w:textAlignment w:val="center"/>
              <w:rPr>
                <w:rFonts w:cs="Times New Roman" w:eastAsiaTheme="majorEastAsia"/>
                <w:kern w:val="0"/>
                <w:szCs w:val="21"/>
                <w:lang w:bidi="ar"/>
              </w:rPr>
            </w:pPr>
            <w:r>
              <w:rPr>
                <w:rFonts w:cs="Times New Roman" w:eastAsiaTheme="majorEastAsia"/>
                <w:kern w:val="0"/>
                <w:szCs w:val="21"/>
                <w:lang w:bidi="ar"/>
              </w:rPr>
              <w:t>腊久乡</w:t>
            </w:r>
          </w:p>
        </w:tc>
        <w:tc>
          <w:tcPr>
            <w:tcW w:w="381" w:type="pct"/>
            <w:noWrap/>
            <w:vAlign w:val="center"/>
          </w:tcPr>
          <w:p w14:paraId="1F3673FF">
            <w:pPr>
              <w:jc w:val="center"/>
              <w:textAlignment w:val="center"/>
              <w:rPr>
                <w:rFonts w:cs="Times New Roman" w:eastAsiaTheme="majorEastAsia"/>
                <w:kern w:val="0"/>
                <w:szCs w:val="21"/>
              </w:rPr>
            </w:pPr>
            <w:r>
              <w:rPr>
                <w:rFonts w:cs="Times New Roman" w:eastAsiaTheme="majorEastAsia"/>
                <w:kern w:val="0"/>
                <w:szCs w:val="21"/>
                <w:lang w:bidi="ar"/>
              </w:rPr>
              <w:t>1200</w:t>
            </w:r>
          </w:p>
        </w:tc>
        <w:tc>
          <w:tcPr>
            <w:tcW w:w="366" w:type="pct"/>
            <w:vAlign w:val="center"/>
          </w:tcPr>
          <w:p w14:paraId="070CC68C">
            <w:pPr>
              <w:jc w:val="center"/>
              <w:textAlignment w:val="center"/>
              <w:rPr>
                <w:rFonts w:cs="Times New Roman" w:eastAsiaTheme="majorEastAsia"/>
                <w:kern w:val="0"/>
                <w:szCs w:val="21"/>
                <w:lang w:bidi="ar"/>
              </w:rPr>
            </w:pPr>
            <w:r>
              <w:rPr>
                <w:rFonts w:cs="Times New Roman" w:eastAsiaTheme="majorEastAsia"/>
                <w:kern w:val="0"/>
                <w:szCs w:val="21"/>
                <w:lang w:bidi="ar"/>
              </w:rPr>
              <w:t>县农业农村局</w:t>
            </w:r>
          </w:p>
        </w:tc>
      </w:tr>
      <w:tr w14:paraId="7C8BE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jc w:val="center"/>
        </w:trPr>
        <w:tc>
          <w:tcPr>
            <w:tcW w:w="259" w:type="pct"/>
            <w:shd w:val="clear" w:color="auto" w:fill="auto"/>
            <w:vAlign w:val="center"/>
          </w:tcPr>
          <w:p w14:paraId="25DB5260">
            <w:pPr>
              <w:jc w:val="center"/>
              <w:textAlignment w:val="center"/>
              <w:rPr>
                <w:rFonts w:ascii="宋体" w:hAnsi="宋体" w:eastAsia="宋体"/>
                <w:color w:val="000000"/>
                <w:kern w:val="0"/>
                <w:sz w:val="22"/>
                <w:lang w:bidi="ar"/>
              </w:rPr>
            </w:pPr>
            <w:r>
              <w:rPr>
                <w:rFonts w:hint="eastAsia" w:ascii="宋体" w:hAnsi="宋体" w:eastAsia="宋体"/>
                <w:color w:val="000000"/>
                <w:kern w:val="0"/>
                <w:sz w:val="22"/>
                <w:lang w:bidi="ar"/>
              </w:rPr>
              <w:t>19</w:t>
            </w:r>
          </w:p>
        </w:tc>
        <w:tc>
          <w:tcPr>
            <w:tcW w:w="697" w:type="pct"/>
            <w:shd w:val="clear" w:color="000000" w:fill="FFFFFF"/>
            <w:vAlign w:val="center"/>
          </w:tcPr>
          <w:p w14:paraId="69F3F328">
            <w:pPr>
              <w:jc w:val="center"/>
              <w:textAlignment w:val="center"/>
              <w:rPr>
                <w:rFonts w:cs="Times New Roman" w:eastAsiaTheme="majorEastAsia"/>
                <w:kern w:val="0"/>
                <w:szCs w:val="21"/>
                <w:lang w:bidi="ar"/>
              </w:rPr>
            </w:pPr>
            <w:r>
              <w:rPr>
                <w:rFonts w:cs="Times New Roman" w:eastAsiaTheme="majorEastAsia"/>
                <w:kern w:val="0"/>
                <w:szCs w:val="21"/>
                <w:lang w:bidi="ar"/>
              </w:rPr>
              <w:t>洛隆县人工种草与天然草地建设项目</w:t>
            </w:r>
          </w:p>
        </w:tc>
        <w:tc>
          <w:tcPr>
            <w:tcW w:w="228" w:type="pct"/>
            <w:shd w:val="clear" w:color="000000" w:fill="FFFFFF"/>
          </w:tcPr>
          <w:p w14:paraId="4EC42DE8">
            <w:pPr>
              <w:jc w:val="center"/>
              <w:rPr>
                <w:rFonts w:cs="Times New Roman" w:eastAsiaTheme="majorEastAsia"/>
                <w:kern w:val="0"/>
                <w:szCs w:val="21"/>
              </w:rPr>
            </w:pPr>
            <w:r>
              <w:rPr>
                <w:rFonts w:cs="Times New Roman" w:eastAsiaTheme="majorEastAsia"/>
                <w:kern w:val="0"/>
                <w:szCs w:val="21"/>
              </w:rPr>
              <w:t>续建</w:t>
            </w:r>
          </w:p>
        </w:tc>
        <w:tc>
          <w:tcPr>
            <w:tcW w:w="2132" w:type="pct"/>
            <w:shd w:val="clear" w:color="000000" w:fill="FFFFFF"/>
            <w:vAlign w:val="center"/>
          </w:tcPr>
          <w:p w14:paraId="5721F818">
            <w:pPr>
              <w:jc w:val="center"/>
              <w:textAlignment w:val="center"/>
              <w:rPr>
                <w:rFonts w:cs="Times New Roman" w:eastAsiaTheme="majorEastAsia"/>
                <w:kern w:val="0"/>
                <w:szCs w:val="21"/>
              </w:rPr>
            </w:pPr>
            <w:r>
              <w:rPr>
                <w:rFonts w:cs="Times New Roman" w:eastAsiaTheme="majorEastAsia"/>
                <w:kern w:val="0"/>
                <w:szCs w:val="21"/>
                <w:lang w:bidi="ar"/>
              </w:rPr>
              <w:t>人工种草约</w:t>
            </w:r>
            <w:r>
              <w:rPr>
                <w:rStyle w:val="356"/>
                <w:rFonts w:hint="default" w:eastAsiaTheme="majorEastAsia"/>
                <w:color w:val="auto"/>
                <w:sz w:val="21"/>
                <w:szCs w:val="21"/>
                <w:lang w:bidi="ar"/>
              </w:rPr>
              <w:t>10000</w:t>
            </w:r>
            <w:r>
              <w:rPr>
                <w:rFonts w:cs="Times New Roman" w:eastAsiaTheme="majorEastAsia"/>
                <w:kern w:val="0"/>
                <w:szCs w:val="21"/>
                <w:lang w:bidi="ar"/>
              </w:rPr>
              <w:t>亩，旱作人工种草约</w:t>
            </w:r>
            <w:r>
              <w:rPr>
                <w:rStyle w:val="356"/>
                <w:rFonts w:hint="default" w:eastAsiaTheme="majorEastAsia"/>
                <w:color w:val="auto"/>
                <w:sz w:val="21"/>
                <w:szCs w:val="21"/>
                <w:lang w:bidi="ar"/>
              </w:rPr>
              <w:t>15000</w:t>
            </w:r>
            <w:r>
              <w:rPr>
                <w:rFonts w:cs="Times New Roman" w:eastAsiaTheme="majorEastAsia"/>
                <w:kern w:val="0"/>
                <w:szCs w:val="21"/>
                <w:lang w:bidi="ar"/>
              </w:rPr>
              <w:t>亩。购置饲草种子及相关设施设备等。</w:t>
            </w:r>
          </w:p>
        </w:tc>
        <w:tc>
          <w:tcPr>
            <w:tcW w:w="431" w:type="pct"/>
            <w:vAlign w:val="center"/>
          </w:tcPr>
          <w:p w14:paraId="4D379040">
            <w:pPr>
              <w:jc w:val="center"/>
              <w:textAlignment w:val="center"/>
              <w:rPr>
                <w:rFonts w:cs="Times New Roman" w:eastAsiaTheme="majorEastAsia"/>
                <w:kern w:val="0"/>
                <w:szCs w:val="21"/>
              </w:rPr>
            </w:pPr>
            <w:r>
              <w:rPr>
                <w:rFonts w:cs="Times New Roman" w:eastAsiaTheme="majorEastAsia"/>
                <w:kern w:val="0"/>
                <w:szCs w:val="21"/>
              </w:rPr>
              <w:t>2022~</w:t>
            </w:r>
            <w:r>
              <w:rPr>
                <w:rFonts w:cs="Times New Roman" w:eastAsiaTheme="majorEastAsia"/>
                <w:kern w:val="0"/>
                <w:szCs w:val="21"/>
                <w:lang w:bidi="ar"/>
              </w:rPr>
              <w:t>2024</w:t>
            </w:r>
          </w:p>
        </w:tc>
        <w:tc>
          <w:tcPr>
            <w:tcW w:w="502" w:type="pct"/>
            <w:vAlign w:val="center"/>
          </w:tcPr>
          <w:p w14:paraId="67A5D7CA">
            <w:pPr>
              <w:jc w:val="center"/>
              <w:textAlignment w:val="center"/>
              <w:rPr>
                <w:rFonts w:cs="Times New Roman" w:eastAsiaTheme="majorEastAsia"/>
                <w:kern w:val="0"/>
                <w:szCs w:val="21"/>
                <w:lang w:bidi="ar"/>
              </w:rPr>
            </w:pPr>
            <w:r>
              <w:rPr>
                <w:rFonts w:cs="Times New Roman" w:eastAsiaTheme="majorEastAsia"/>
                <w:kern w:val="0"/>
                <w:szCs w:val="21"/>
                <w:lang w:bidi="ar"/>
              </w:rPr>
              <w:t>腊久乡、硕督、中亦、孜托、康沙等</w:t>
            </w:r>
          </w:p>
        </w:tc>
        <w:tc>
          <w:tcPr>
            <w:tcW w:w="381" w:type="pct"/>
            <w:noWrap/>
            <w:vAlign w:val="center"/>
          </w:tcPr>
          <w:p w14:paraId="605459D7">
            <w:pPr>
              <w:jc w:val="center"/>
              <w:textAlignment w:val="center"/>
              <w:rPr>
                <w:rFonts w:cs="Times New Roman" w:eastAsiaTheme="majorEastAsia"/>
                <w:kern w:val="0"/>
                <w:szCs w:val="21"/>
              </w:rPr>
            </w:pPr>
            <w:r>
              <w:rPr>
                <w:rFonts w:cs="Times New Roman" w:eastAsiaTheme="majorEastAsia"/>
                <w:kern w:val="0"/>
                <w:szCs w:val="21"/>
                <w:lang w:bidi="ar"/>
              </w:rPr>
              <w:t>2000</w:t>
            </w:r>
          </w:p>
        </w:tc>
        <w:tc>
          <w:tcPr>
            <w:tcW w:w="366" w:type="pct"/>
            <w:vAlign w:val="center"/>
          </w:tcPr>
          <w:p w14:paraId="1F0777CE">
            <w:pPr>
              <w:jc w:val="center"/>
              <w:textAlignment w:val="center"/>
              <w:rPr>
                <w:rFonts w:cs="Times New Roman" w:eastAsiaTheme="majorEastAsia"/>
                <w:kern w:val="0"/>
                <w:szCs w:val="21"/>
                <w:lang w:bidi="ar"/>
              </w:rPr>
            </w:pPr>
            <w:r>
              <w:rPr>
                <w:rFonts w:cs="Times New Roman" w:eastAsiaTheme="majorEastAsia"/>
                <w:kern w:val="0"/>
                <w:szCs w:val="21"/>
                <w:lang w:bidi="ar"/>
              </w:rPr>
              <w:t>县农业农村局</w:t>
            </w:r>
          </w:p>
        </w:tc>
      </w:tr>
      <w:tr w14:paraId="3E08E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259" w:type="pct"/>
            <w:shd w:val="clear" w:color="auto" w:fill="auto"/>
            <w:vAlign w:val="center"/>
          </w:tcPr>
          <w:p w14:paraId="1E161C49">
            <w:pPr>
              <w:jc w:val="center"/>
              <w:textAlignment w:val="center"/>
              <w:rPr>
                <w:rFonts w:ascii="宋体" w:hAnsi="宋体" w:eastAsia="宋体"/>
                <w:color w:val="000000"/>
                <w:kern w:val="0"/>
                <w:sz w:val="22"/>
                <w:lang w:bidi="ar"/>
              </w:rPr>
            </w:pPr>
            <w:r>
              <w:rPr>
                <w:rFonts w:hint="eastAsia" w:ascii="宋体" w:hAnsi="宋体" w:eastAsia="宋体"/>
                <w:color w:val="000000"/>
                <w:kern w:val="0"/>
                <w:sz w:val="22"/>
                <w:lang w:bidi="ar"/>
              </w:rPr>
              <w:t>20</w:t>
            </w:r>
          </w:p>
        </w:tc>
        <w:tc>
          <w:tcPr>
            <w:tcW w:w="697" w:type="pct"/>
            <w:shd w:val="clear" w:color="000000" w:fill="FFFFFF"/>
            <w:vAlign w:val="center"/>
          </w:tcPr>
          <w:p w14:paraId="5147CC19">
            <w:pPr>
              <w:jc w:val="center"/>
              <w:textAlignment w:val="center"/>
              <w:rPr>
                <w:rFonts w:cs="Times New Roman" w:eastAsiaTheme="majorEastAsia"/>
                <w:kern w:val="0"/>
                <w:szCs w:val="21"/>
                <w:lang w:bidi="ar"/>
              </w:rPr>
            </w:pPr>
            <w:r>
              <w:rPr>
                <w:rFonts w:cs="Times New Roman" w:eastAsiaTheme="majorEastAsia"/>
                <w:kern w:val="0"/>
                <w:szCs w:val="21"/>
                <w:lang w:bidi="ar"/>
              </w:rPr>
              <w:t>洛隆县雅江雪牛育肥示范基区建设</w:t>
            </w:r>
          </w:p>
          <w:p w14:paraId="4A6DC208">
            <w:pPr>
              <w:jc w:val="center"/>
              <w:textAlignment w:val="center"/>
              <w:rPr>
                <w:rFonts w:cs="Times New Roman" w:eastAsiaTheme="majorEastAsia"/>
                <w:kern w:val="0"/>
                <w:szCs w:val="21"/>
                <w:lang w:bidi="ar"/>
              </w:rPr>
            </w:pPr>
            <w:r>
              <w:rPr>
                <w:rFonts w:cs="Times New Roman" w:eastAsiaTheme="majorEastAsia"/>
                <w:kern w:val="0"/>
                <w:szCs w:val="21"/>
                <w:lang w:bidi="ar"/>
              </w:rPr>
              <w:t>项目</w:t>
            </w:r>
          </w:p>
        </w:tc>
        <w:tc>
          <w:tcPr>
            <w:tcW w:w="228" w:type="pct"/>
            <w:shd w:val="clear" w:color="000000" w:fill="FFFFFF"/>
          </w:tcPr>
          <w:p w14:paraId="6FB99CC6">
            <w:pPr>
              <w:jc w:val="center"/>
              <w:rPr>
                <w:rFonts w:cs="Times New Roman" w:eastAsiaTheme="majorEastAsia"/>
                <w:kern w:val="0"/>
                <w:szCs w:val="21"/>
              </w:rPr>
            </w:pPr>
            <w:r>
              <w:rPr>
                <w:rFonts w:cs="Times New Roman" w:eastAsiaTheme="majorEastAsia"/>
                <w:kern w:val="0"/>
                <w:szCs w:val="21"/>
              </w:rPr>
              <w:t>续建</w:t>
            </w:r>
          </w:p>
        </w:tc>
        <w:tc>
          <w:tcPr>
            <w:tcW w:w="2132" w:type="pct"/>
            <w:shd w:val="clear" w:color="000000" w:fill="FFFFFF"/>
            <w:vAlign w:val="center"/>
          </w:tcPr>
          <w:p w14:paraId="3EC0390A">
            <w:pPr>
              <w:jc w:val="center"/>
              <w:textAlignment w:val="center"/>
              <w:rPr>
                <w:rFonts w:cs="Times New Roman" w:eastAsiaTheme="majorEastAsia"/>
                <w:kern w:val="0"/>
                <w:szCs w:val="21"/>
              </w:rPr>
            </w:pPr>
            <w:r>
              <w:rPr>
                <w:rFonts w:cs="Times New Roman" w:eastAsiaTheme="majorEastAsia"/>
                <w:kern w:val="0"/>
                <w:szCs w:val="21"/>
                <w:lang w:bidi="ar"/>
              </w:rPr>
              <w:t>建设雅江雪牛养殖基地，养殖推广雅江雪牛</w:t>
            </w:r>
            <w:r>
              <w:rPr>
                <w:rStyle w:val="356"/>
                <w:rFonts w:hint="default" w:eastAsiaTheme="majorEastAsia"/>
                <w:color w:val="auto"/>
                <w:sz w:val="21"/>
                <w:szCs w:val="21"/>
                <w:lang w:bidi="ar"/>
              </w:rPr>
              <w:t>500</w:t>
            </w:r>
            <w:r>
              <w:rPr>
                <w:rFonts w:cs="Times New Roman" w:eastAsiaTheme="majorEastAsia"/>
                <w:kern w:val="0"/>
                <w:szCs w:val="21"/>
                <w:lang w:bidi="ar"/>
              </w:rPr>
              <w:t>头，购置相关疫情防疫设备等</w:t>
            </w:r>
          </w:p>
        </w:tc>
        <w:tc>
          <w:tcPr>
            <w:tcW w:w="431" w:type="pct"/>
            <w:vAlign w:val="center"/>
          </w:tcPr>
          <w:p w14:paraId="6F58F7B1">
            <w:pPr>
              <w:jc w:val="center"/>
              <w:textAlignment w:val="center"/>
              <w:rPr>
                <w:rFonts w:cs="Times New Roman" w:eastAsiaTheme="majorEastAsia"/>
                <w:kern w:val="0"/>
                <w:szCs w:val="21"/>
              </w:rPr>
            </w:pPr>
            <w:r>
              <w:rPr>
                <w:rFonts w:cs="Times New Roman" w:eastAsiaTheme="majorEastAsia"/>
                <w:kern w:val="0"/>
                <w:szCs w:val="21"/>
              </w:rPr>
              <w:t>2022~</w:t>
            </w:r>
            <w:r>
              <w:rPr>
                <w:rFonts w:cs="Times New Roman" w:eastAsiaTheme="majorEastAsia"/>
                <w:kern w:val="0"/>
                <w:szCs w:val="21"/>
                <w:lang w:bidi="ar"/>
              </w:rPr>
              <w:t>2024</w:t>
            </w:r>
          </w:p>
        </w:tc>
        <w:tc>
          <w:tcPr>
            <w:tcW w:w="502" w:type="pct"/>
            <w:vAlign w:val="center"/>
          </w:tcPr>
          <w:p w14:paraId="432330F2">
            <w:pPr>
              <w:jc w:val="center"/>
              <w:textAlignment w:val="center"/>
              <w:rPr>
                <w:rFonts w:cs="Times New Roman" w:eastAsiaTheme="majorEastAsia"/>
                <w:kern w:val="0"/>
                <w:szCs w:val="21"/>
                <w:lang w:bidi="ar"/>
              </w:rPr>
            </w:pPr>
            <w:r>
              <w:rPr>
                <w:rFonts w:cs="Times New Roman" w:eastAsiaTheme="majorEastAsia"/>
                <w:kern w:val="0"/>
                <w:szCs w:val="21"/>
                <w:lang w:bidi="ar"/>
              </w:rPr>
              <w:t>孜托镇、腊久、康沙等</w:t>
            </w:r>
          </w:p>
        </w:tc>
        <w:tc>
          <w:tcPr>
            <w:tcW w:w="381" w:type="pct"/>
            <w:noWrap/>
            <w:vAlign w:val="center"/>
          </w:tcPr>
          <w:p w14:paraId="38198044">
            <w:pPr>
              <w:jc w:val="center"/>
              <w:textAlignment w:val="center"/>
              <w:rPr>
                <w:rFonts w:cs="Times New Roman" w:eastAsiaTheme="majorEastAsia"/>
                <w:kern w:val="0"/>
                <w:szCs w:val="21"/>
              </w:rPr>
            </w:pPr>
            <w:r>
              <w:rPr>
                <w:rFonts w:cs="Times New Roman" w:eastAsiaTheme="majorEastAsia"/>
                <w:kern w:val="0"/>
                <w:szCs w:val="21"/>
                <w:lang w:bidi="ar"/>
              </w:rPr>
              <w:t>1800</w:t>
            </w:r>
          </w:p>
        </w:tc>
        <w:tc>
          <w:tcPr>
            <w:tcW w:w="366" w:type="pct"/>
            <w:vAlign w:val="center"/>
          </w:tcPr>
          <w:p w14:paraId="455A8E10">
            <w:pPr>
              <w:jc w:val="center"/>
              <w:textAlignment w:val="center"/>
              <w:rPr>
                <w:rFonts w:cs="Times New Roman" w:eastAsiaTheme="majorEastAsia"/>
                <w:kern w:val="0"/>
                <w:szCs w:val="21"/>
                <w:lang w:bidi="ar"/>
              </w:rPr>
            </w:pPr>
            <w:r>
              <w:rPr>
                <w:rFonts w:cs="Times New Roman" w:eastAsiaTheme="majorEastAsia"/>
                <w:kern w:val="0"/>
                <w:szCs w:val="21"/>
                <w:lang w:bidi="ar"/>
              </w:rPr>
              <w:t>县农业农村局</w:t>
            </w:r>
          </w:p>
        </w:tc>
      </w:tr>
      <w:tr w14:paraId="23999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259" w:type="pct"/>
            <w:shd w:val="clear" w:color="auto" w:fill="auto"/>
            <w:vAlign w:val="center"/>
          </w:tcPr>
          <w:p w14:paraId="75D663DE">
            <w:pPr>
              <w:jc w:val="center"/>
              <w:textAlignment w:val="center"/>
              <w:rPr>
                <w:rFonts w:ascii="宋体" w:hAnsi="宋体" w:eastAsia="宋体"/>
                <w:color w:val="000000"/>
                <w:kern w:val="0"/>
                <w:sz w:val="22"/>
                <w:lang w:bidi="ar"/>
              </w:rPr>
            </w:pPr>
            <w:r>
              <w:rPr>
                <w:rFonts w:hint="eastAsia" w:ascii="宋体" w:hAnsi="宋体" w:eastAsia="宋体"/>
                <w:color w:val="000000"/>
                <w:kern w:val="0"/>
                <w:sz w:val="22"/>
                <w:lang w:bidi="ar"/>
              </w:rPr>
              <w:t>21</w:t>
            </w:r>
          </w:p>
        </w:tc>
        <w:tc>
          <w:tcPr>
            <w:tcW w:w="697" w:type="pct"/>
            <w:shd w:val="clear" w:color="000000" w:fill="FFFFFF"/>
            <w:vAlign w:val="center"/>
          </w:tcPr>
          <w:p w14:paraId="3CC241D8">
            <w:pPr>
              <w:textAlignment w:val="center"/>
              <w:rPr>
                <w:rFonts w:cs="Times New Roman" w:eastAsiaTheme="majorEastAsia"/>
                <w:kern w:val="0"/>
                <w:szCs w:val="21"/>
                <w:lang w:bidi="ar"/>
              </w:rPr>
            </w:pPr>
            <w:r>
              <w:rPr>
                <w:rFonts w:cs="Times New Roman" w:eastAsiaTheme="majorEastAsia"/>
                <w:kern w:val="0"/>
                <w:szCs w:val="21"/>
                <w:lang w:bidi="ar"/>
              </w:rPr>
              <w:t>洛隆县农业机械化综合示范点建设</w:t>
            </w:r>
          </w:p>
          <w:p w14:paraId="0364E19A">
            <w:pPr>
              <w:jc w:val="center"/>
              <w:textAlignment w:val="center"/>
              <w:rPr>
                <w:rFonts w:cs="Times New Roman" w:eastAsiaTheme="majorEastAsia"/>
                <w:kern w:val="0"/>
                <w:szCs w:val="21"/>
                <w:lang w:bidi="ar"/>
              </w:rPr>
            </w:pPr>
            <w:r>
              <w:rPr>
                <w:rFonts w:cs="Times New Roman" w:eastAsiaTheme="majorEastAsia"/>
                <w:kern w:val="0"/>
                <w:szCs w:val="21"/>
                <w:lang w:bidi="ar"/>
              </w:rPr>
              <w:t>项目</w:t>
            </w:r>
          </w:p>
        </w:tc>
        <w:tc>
          <w:tcPr>
            <w:tcW w:w="228" w:type="pct"/>
            <w:shd w:val="clear" w:color="000000" w:fill="FFFFFF"/>
          </w:tcPr>
          <w:p w14:paraId="502F7429">
            <w:pPr>
              <w:jc w:val="center"/>
              <w:rPr>
                <w:rFonts w:cs="Times New Roman" w:eastAsiaTheme="majorEastAsia"/>
                <w:kern w:val="0"/>
                <w:szCs w:val="21"/>
              </w:rPr>
            </w:pPr>
            <w:r>
              <w:rPr>
                <w:rFonts w:cs="Times New Roman" w:eastAsiaTheme="majorEastAsia"/>
                <w:kern w:val="0"/>
                <w:szCs w:val="21"/>
              </w:rPr>
              <w:t>续建</w:t>
            </w:r>
          </w:p>
        </w:tc>
        <w:tc>
          <w:tcPr>
            <w:tcW w:w="2132" w:type="pct"/>
            <w:shd w:val="clear" w:color="000000" w:fill="FFFFFF"/>
            <w:vAlign w:val="center"/>
          </w:tcPr>
          <w:p w14:paraId="478830F8">
            <w:pPr>
              <w:jc w:val="center"/>
              <w:textAlignment w:val="center"/>
              <w:rPr>
                <w:rFonts w:cs="Times New Roman" w:eastAsiaTheme="majorEastAsia"/>
                <w:kern w:val="0"/>
                <w:szCs w:val="21"/>
              </w:rPr>
            </w:pPr>
            <w:r>
              <w:rPr>
                <w:rFonts w:cs="Times New Roman" w:eastAsiaTheme="majorEastAsia"/>
                <w:kern w:val="0"/>
                <w:szCs w:val="21"/>
                <w:lang w:bidi="ar"/>
              </w:rPr>
              <w:t>建设农业机械存放保养服务中心约</w:t>
            </w:r>
            <w:r>
              <w:rPr>
                <w:rStyle w:val="356"/>
                <w:rFonts w:hint="default" w:eastAsiaTheme="majorEastAsia"/>
                <w:color w:val="auto"/>
                <w:sz w:val="21"/>
                <w:szCs w:val="21"/>
                <w:lang w:bidi="ar"/>
              </w:rPr>
              <w:t>1500</w:t>
            </w:r>
            <w:r>
              <w:rPr>
                <w:rFonts w:cs="Times New Roman" w:eastAsiaTheme="majorEastAsia"/>
                <w:kern w:val="0"/>
                <w:szCs w:val="21"/>
                <w:lang w:bidi="ar"/>
              </w:rPr>
              <w:t>平方米，购置</w:t>
            </w:r>
            <w:r>
              <w:rPr>
                <w:rStyle w:val="356"/>
                <w:rFonts w:hint="default" w:eastAsiaTheme="majorEastAsia"/>
                <w:color w:val="auto"/>
                <w:sz w:val="21"/>
                <w:szCs w:val="21"/>
                <w:lang w:bidi="ar"/>
              </w:rPr>
              <w:t>320</w:t>
            </w:r>
            <w:r>
              <w:rPr>
                <w:rFonts w:cs="Times New Roman" w:eastAsiaTheme="majorEastAsia"/>
                <w:kern w:val="0"/>
                <w:szCs w:val="21"/>
                <w:lang w:bidi="ar"/>
              </w:rPr>
              <w:t>拖拉机、背负式收割机、脱粒机、旋耕机、播种机等</w:t>
            </w:r>
          </w:p>
        </w:tc>
        <w:tc>
          <w:tcPr>
            <w:tcW w:w="431" w:type="pct"/>
            <w:vAlign w:val="center"/>
          </w:tcPr>
          <w:p w14:paraId="4ECB7F65">
            <w:pPr>
              <w:jc w:val="center"/>
              <w:textAlignment w:val="center"/>
              <w:rPr>
                <w:rFonts w:cs="Times New Roman" w:eastAsiaTheme="majorEastAsia"/>
                <w:kern w:val="0"/>
                <w:szCs w:val="21"/>
              </w:rPr>
            </w:pPr>
            <w:r>
              <w:rPr>
                <w:rFonts w:cs="Times New Roman" w:eastAsiaTheme="majorEastAsia"/>
                <w:kern w:val="0"/>
                <w:szCs w:val="21"/>
              </w:rPr>
              <w:t>2022~</w:t>
            </w:r>
            <w:r>
              <w:rPr>
                <w:rFonts w:cs="Times New Roman" w:eastAsiaTheme="majorEastAsia"/>
                <w:kern w:val="0"/>
                <w:szCs w:val="21"/>
                <w:lang w:bidi="ar"/>
              </w:rPr>
              <w:t>2024</w:t>
            </w:r>
          </w:p>
        </w:tc>
        <w:tc>
          <w:tcPr>
            <w:tcW w:w="502" w:type="pct"/>
            <w:vAlign w:val="center"/>
          </w:tcPr>
          <w:p w14:paraId="6FE335B5">
            <w:pPr>
              <w:jc w:val="center"/>
              <w:textAlignment w:val="center"/>
              <w:rPr>
                <w:rFonts w:cs="Times New Roman" w:eastAsiaTheme="majorEastAsia"/>
                <w:kern w:val="0"/>
                <w:szCs w:val="21"/>
                <w:lang w:bidi="ar"/>
              </w:rPr>
            </w:pPr>
            <w:r>
              <w:rPr>
                <w:rFonts w:cs="Times New Roman" w:eastAsiaTheme="majorEastAsia"/>
                <w:kern w:val="0"/>
                <w:szCs w:val="21"/>
                <w:lang w:bidi="ar"/>
              </w:rPr>
              <w:t>孜托镇</w:t>
            </w:r>
          </w:p>
        </w:tc>
        <w:tc>
          <w:tcPr>
            <w:tcW w:w="381" w:type="pct"/>
            <w:noWrap/>
            <w:vAlign w:val="center"/>
          </w:tcPr>
          <w:p w14:paraId="7A904FCB">
            <w:pPr>
              <w:jc w:val="center"/>
              <w:textAlignment w:val="center"/>
              <w:rPr>
                <w:rFonts w:cs="Times New Roman" w:eastAsiaTheme="majorEastAsia"/>
                <w:kern w:val="0"/>
                <w:szCs w:val="21"/>
              </w:rPr>
            </w:pPr>
            <w:r>
              <w:rPr>
                <w:rFonts w:cs="Times New Roman" w:eastAsiaTheme="majorEastAsia"/>
                <w:kern w:val="0"/>
                <w:szCs w:val="21"/>
                <w:lang w:bidi="ar"/>
              </w:rPr>
              <w:t>600</w:t>
            </w:r>
          </w:p>
        </w:tc>
        <w:tc>
          <w:tcPr>
            <w:tcW w:w="366" w:type="pct"/>
            <w:vAlign w:val="center"/>
          </w:tcPr>
          <w:p w14:paraId="0D522672">
            <w:pPr>
              <w:jc w:val="center"/>
              <w:textAlignment w:val="center"/>
              <w:rPr>
                <w:rFonts w:cs="Times New Roman" w:eastAsiaTheme="majorEastAsia"/>
                <w:kern w:val="0"/>
                <w:szCs w:val="21"/>
                <w:lang w:bidi="ar"/>
              </w:rPr>
            </w:pPr>
            <w:r>
              <w:rPr>
                <w:rFonts w:cs="Times New Roman" w:eastAsiaTheme="majorEastAsia"/>
                <w:kern w:val="0"/>
                <w:szCs w:val="21"/>
                <w:lang w:bidi="ar"/>
              </w:rPr>
              <w:t>县农业农村局</w:t>
            </w:r>
          </w:p>
        </w:tc>
      </w:tr>
      <w:tr w14:paraId="4FE53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259" w:type="pct"/>
            <w:shd w:val="clear" w:color="auto" w:fill="auto"/>
            <w:vAlign w:val="center"/>
          </w:tcPr>
          <w:p w14:paraId="55F97D9A">
            <w:pPr>
              <w:jc w:val="center"/>
              <w:textAlignment w:val="center"/>
              <w:rPr>
                <w:rFonts w:ascii="宋体" w:hAnsi="宋体" w:eastAsia="宋体"/>
                <w:color w:val="000000"/>
                <w:kern w:val="0"/>
                <w:sz w:val="22"/>
                <w:lang w:bidi="ar"/>
              </w:rPr>
            </w:pPr>
            <w:r>
              <w:rPr>
                <w:rFonts w:hint="eastAsia" w:ascii="宋体" w:hAnsi="宋体" w:eastAsia="宋体"/>
                <w:color w:val="000000"/>
                <w:kern w:val="0"/>
                <w:sz w:val="22"/>
                <w:lang w:bidi="ar"/>
              </w:rPr>
              <w:t>22</w:t>
            </w:r>
          </w:p>
        </w:tc>
        <w:tc>
          <w:tcPr>
            <w:tcW w:w="697" w:type="pct"/>
            <w:shd w:val="clear" w:color="000000" w:fill="FFFFFF"/>
            <w:vAlign w:val="center"/>
          </w:tcPr>
          <w:p w14:paraId="5F546C83">
            <w:pPr>
              <w:jc w:val="center"/>
              <w:textAlignment w:val="center"/>
              <w:rPr>
                <w:rFonts w:cs="Times New Roman" w:eastAsiaTheme="majorEastAsia"/>
                <w:kern w:val="0"/>
                <w:szCs w:val="21"/>
                <w:lang w:bidi="ar"/>
              </w:rPr>
            </w:pPr>
            <w:r>
              <w:rPr>
                <w:rFonts w:cs="Times New Roman" w:eastAsiaTheme="majorEastAsia"/>
                <w:kern w:val="0"/>
                <w:szCs w:val="21"/>
                <w:lang w:bidi="ar"/>
              </w:rPr>
              <w:t>洛隆县美丽乡村休闲农业观光园区建设项目</w:t>
            </w:r>
          </w:p>
        </w:tc>
        <w:tc>
          <w:tcPr>
            <w:tcW w:w="228" w:type="pct"/>
            <w:shd w:val="clear" w:color="000000" w:fill="FFFFFF"/>
          </w:tcPr>
          <w:p w14:paraId="44D3C930">
            <w:pPr>
              <w:jc w:val="center"/>
              <w:rPr>
                <w:rFonts w:cs="Times New Roman" w:eastAsiaTheme="majorEastAsia"/>
                <w:kern w:val="0"/>
                <w:szCs w:val="21"/>
              </w:rPr>
            </w:pPr>
            <w:r>
              <w:rPr>
                <w:rFonts w:cs="Times New Roman" w:eastAsiaTheme="majorEastAsia"/>
                <w:kern w:val="0"/>
                <w:szCs w:val="21"/>
              </w:rPr>
              <w:t>续建</w:t>
            </w:r>
          </w:p>
        </w:tc>
        <w:tc>
          <w:tcPr>
            <w:tcW w:w="2132" w:type="pct"/>
            <w:shd w:val="clear" w:color="000000" w:fill="FFFFFF"/>
            <w:vAlign w:val="center"/>
          </w:tcPr>
          <w:p w14:paraId="0BDA09FC">
            <w:pPr>
              <w:jc w:val="center"/>
              <w:textAlignment w:val="center"/>
              <w:rPr>
                <w:rFonts w:cs="Times New Roman" w:eastAsiaTheme="majorEastAsia"/>
                <w:kern w:val="0"/>
                <w:szCs w:val="21"/>
              </w:rPr>
            </w:pPr>
            <w:r>
              <w:rPr>
                <w:rFonts w:cs="Times New Roman" w:eastAsiaTheme="majorEastAsia"/>
                <w:kern w:val="0"/>
                <w:szCs w:val="21"/>
                <w:lang w:bidi="ar"/>
              </w:rPr>
              <w:t>建设美丽乡村休闲农业观光园区，购置相关设备设施，完善园区内围栏、道路、水利等相关设施设备等。</w:t>
            </w:r>
          </w:p>
        </w:tc>
        <w:tc>
          <w:tcPr>
            <w:tcW w:w="431" w:type="pct"/>
            <w:vAlign w:val="center"/>
          </w:tcPr>
          <w:p w14:paraId="46BDD054">
            <w:pPr>
              <w:jc w:val="center"/>
              <w:textAlignment w:val="center"/>
              <w:rPr>
                <w:rFonts w:cs="Times New Roman" w:eastAsiaTheme="majorEastAsia"/>
                <w:kern w:val="0"/>
                <w:szCs w:val="21"/>
              </w:rPr>
            </w:pPr>
            <w:r>
              <w:rPr>
                <w:rFonts w:cs="Times New Roman" w:eastAsiaTheme="majorEastAsia"/>
                <w:kern w:val="0"/>
                <w:szCs w:val="21"/>
              </w:rPr>
              <w:t>2022~</w:t>
            </w:r>
            <w:r>
              <w:rPr>
                <w:rFonts w:cs="Times New Roman" w:eastAsiaTheme="majorEastAsia"/>
                <w:kern w:val="0"/>
                <w:szCs w:val="21"/>
                <w:lang w:bidi="ar"/>
              </w:rPr>
              <w:t>2024</w:t>
            </w:r>
          </w:p>
        </w:tc>
        <w:tc>
          <w:tcPr>
            <w:tcW w:w="502" w:type="pct"/>
            <w:vAlign w:val="center"/>
          </w:tcPr>
          <w:p w14:paraId="7AEE00CD">
            <w:pPr>
              <w:jc w:val="center"/>
              <w:textAlignment w:val="center"/>
              <w:rPr>
                <w:rFonts w:cs="Times New Roman" w:eastAsiaTheme="majorEastAsia"/>
                <w:kern w:val="0"/>
                <w:szCs w:val="21"/>
                <w:lang w:bidi="ar"/>
              </w:rPr>
            </w:pPr>
            <w:r>
              <w:rPr>
                <w:rFonts w:cs="Times New Roman" w:eastAsiaTheme="majorEastAsia"/>
                <w:kern w:val="0"/>
                <w:szCs w:val="21"/>
                <w:lang w:bidi="ar"/>
              </w:rPr>
              <w:t>俄西乡</w:t>
            </w:r>
          </w:p>
        </w:tc>
        <w:tc>
          <w:tcPr>
            <w:tcW w:w="381" w:type="pct"/>
            <w:noWrap/>
            <w:vAlign w:val="center"/>
          </w:tcPr>
          <w:p w14:paraId="17A1B3F5">
            <w:pPr>
              <w:jc w:val="center"/>
              <w:textAlignment w:val="center"/>
              <w:rPr>
                <w:rFonts w:cs="Times New Roman" w:eastAsiaTheme="majorEastAsia"/>
                <w:kern w:val="0"/>
                <w:szCs w:val="21"/>
              </w:rPr>
            </w:pPr>
            <w:r>
              <w:rPr>
                <w:rFonts w:cs="Times New Roman" w:eastAsiaTheme="majorEastAsia"/>
                <w:kern w:val="0"/>
                <w:szCs w:val="21"/>
                <w:lang w:bidi="ar"/>
              </w:rPr>
              <w:t>2000</w:t>
            </w:r>
          </w:p>
        </w:tc>
        <w:tc>
          <w:tcPr>
            <w:tcW w:w="366" w:type="pct"/>
            <w:vAlign w:val="center"/>
          </w:tcPr>
          <w:p w14:paraId="31817EAB">
            <w:pPr>
              <w:jc w:val="center"/>
              <w:textAlignment w:val="center"/>
              <w:rPr>
                <w:rFonts w:cs="Times New Roman" w:eastAsiaTheme="majorEastAsia"/>
                <w:kern w:val="0"/>
                <w:szCs w:val="21"/>
                <w:lang w:bidi="ar"/>
              </w:rPr>
            </w:pPr>
            <w:r>
              <w:rPr>
                <w:rFonts w:cs="Times New Roman" w:eastAsiaTheme="majorEastAsia"/>
                <w:kern w:val="0"/>
                <w:szCs w:val="21"/>
                <w:lang w:bidi="ar"/>
              </w:rPr>
              <w:t>县农业农村局</w:t>
            </w:r>
          </w:p>
        </w:tc>
      </w:tr>
      <w:tr w14:paraId="132E0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259" w:type="pct"/>
            <w:shd w:val="clear" w:color="auto" w:fill="auto"/>
            <w:vAlign w:val="center"/>
          </w:tcPr>
          <w:p w14:paraId="276C4235">
            <w:pPr>
              <w:jc w:val="center"/>
              <w:textAlignment w:val="center"/>
              <w:rPr>
                <w:rFonts w:ascii="宋体" w:hAnsi="宋体" w:eastAsia="宋体"/>
                <w:color w:val="000000"/>
                <w:kern w:val="0"/>
                <w:sz w:val="22"/>
                <w:lang w:bidi="ar"/>
              </w:rPr>
            </w:pPr>
            <w:r>
              <w:rPr>
                <w:rFonts w:hint="eastAsia" w:ascii="宋体" w:hAnsi="宋体" w:eastAsia="宋体"/>
                <w:color w:val="000000"/>
                <w:kern w:val="0"/>
                <w:sz w:val="22"/>
                <w:lang w:bidi="ar"/>
              </w:rPr>
              <w:t>23</w:t>
            </w:r>
          </w:p>
        </w:tc>
        <w:tc>
          <w:tcPr>
            <w:tcW w:w="697" w:type="pct"/>
            <w:shd w:val="clear" w:color="000000" w:fill="FFFFFF"/>
            <w:vAlign w:val="center"/>
          </w:tcPr>
          <w:p w14:paraId="7F34AEB0">
            <w:pPr>
              <w:jc w:val="center"/>
              <w:textAlignment w:val="center"/>
              <w:rPr>
                <w:rFonts w:cs="Times New Roman" w:eastAsiaTheme="majorEastAsia"/>
                <w:kern w:val="0"/>
                <w:szCs w:val="21"/>
                <w:lang w:bidi="ar"/>
              </w:rPr>
            </w:pPr>
            <w:r>
              <w:rPr>
                <w:rFonts w:cs="Times New Roman" w:eastAsiaTheme="majorEastAsia"/>
                <w:kern w:val="0"/>
                <w:szCs w:val="21"/>
                <w:lang w:bidi="ar"/>
              </w:rPr>
              <w:t>洛隆县农作物病虫害绿色防控技术推广项目</w:t>
            </w:r>
          </w:p>
        </w:tc>
        <w:tc>
          <w:tcPr>
            <w:tcW w:w="228" w:type="pct"/>
            <w:shd w:val="clear" w:color="000000" w:fill="FFFFFF"/>
          </w:tcPr>
          <w:p w14:paraId="231E8210">
            <w:pPr>
              <w:jc w:val="center"/>
              <w:rPr>
                <w:rFonts w:cs="Times New Roman" w:eastAsiaTheme="majorEastAsia"/>
                <w:kern w:val="0"/>
                <w:szCs w:val="21"/>
              </w:rPr>
            </w:pPr>
            <w:r>
              <w:rPr>
                <w:rFonts w:cs="Times New Roman" w:eastAsiaTheme="majorEastAsia"/>
                <w:kern w:val="0"/>
                <w:szCs w:val="21"/>
              </w:rPr>
              <w:t>续建</w:t>
            </w:r>
          </w:p>
        </w:tc>
        <w:tc>
          <w:tcPr>
            <w:tcW w:w="2132" w:type="pct"/>
            <w:shd w:val="clear" w:color="000000" w:fill="FFFFFF"/>
            <w:vAlign w:val="center"/>
          </w:tcPr>
          <w:p w14:paraId="6470577B">
            <w:pPr>
              <w:jc w:val="center"/>
              <w:textAlignment w:val="center"/>
              <w:rPr>
                <w:rFonts w:cs="Times New Roman" w:eastAsiaTheme="majorEastAsia"/>
                <w:kern w:val="0"/>
                <w:szCs w:val="21"/>
              </w:rPr>
            </w:pPr>
            <w:r>
              <w:rPr>
                <w:rFonts w:cs="Times New Roman" w:eastAsiaTheme="majorEastAsia"/>
                <w:kern w:val="0"/>
                <w:szCs w:val="21"/>
                <w:lang w:bidi="ar"/>
              </w:rPr>
              <w:t>主要对各乡镇青稞、小麦等粮食作物，进行农作物病虫害防控技术培训、购置新型病虫害防控设施设备等。</w:t>
            </w:r>
          </w:p>
        </w:tc>
        <w:tc>
          <w:tcPr>
            <w:tcW w:w="431" w:type="pct"/>
            <w:vAlign w:val="center"/>
          </w:tcPr>
          <w:p w14:paraId="44D90850">
            <w:pPr>
              <w:jc w:val="center"/>
              <w:textAlignment w:val="center"/>
              <w:rPr>
                <w:rFonts w:cs="Times New Roman" w:eastAsiaTheme="majorEastAsia"/>
                <w:kern w:val="0"/>
                <w:szCs w:val="21"/>
              </w:rPr>
            </w:pPr>
            <w:r>
              <w:rPr>
                <w:rFonts w:cs="Times New Roman" w:eastAsiaTheme="majorEastAsia"/>
                <w:kern w:val="0"/>
                <w:szCs w:val="21"/>
              </w:rPr>
              <w:t>2022~</w:t>
            </w:r>
            <w:r>
              <w:rPr>
                <w:rFonts w:cs="Times New Roman" w:eastAsiaTheme="majorEastAsia"/>
                <w:kern w:val="0"/>
                <w:szCs w:val="21"/>
                <w:lang w:bidi="ar"/>
              </w:rPr>
              <w:t>2025</w:t>
            </w:r>
          </w:p>
        </w:tc>
        <w:tc>
          <w:tcPr>
            <w:tcW w:w="502" w:type="pct"/>
            <w:vAlign w:val="center"/>
          </w:tcPr>
          <w:p w14:paraId="5520BDDA">
            <w:pPr>
              <w:jc w:val="center"/>
              <w:textAlignment w:val="center"/>
              <w:rPr>
                <w:rFonts w:cs="Times New Roman" w:eastAsiaTheme="majorEastAsia"/>
                <w:kern w:val="0"/>
                <w:szCs w:val="21"/>
                <w:lang w:bidi="ar"/>
              </w:rPr>
            </w:pPr>
            <w:r>
              <w:rPr>
                <w:rFonts w:cs="Times New Roman" w:eastAsiaTheme="majorEastAsia"/>
                <w:kern w:val="0"/>
                <w:szCs w:val="21"/>
                <w:lang w:bidi="ar"/>
              </w:rPr>
              <w:t>11乡镇</w:t>
            </w:r>
          </w:p>
        </w:tc>
        <w:tc>
          <w:tcPr>
            <w:tcW w:w="381" w:type="pct"/>
            <w:noWrap/>
            <w:vAlign w:val="center"/>
          </w:tcPr>
          <w:p w14:paraId="64203766">
            <w:pPr>
              <w:jc w:val="center"/>
              <w:textAlignment w:val="center"/>
              <w:rPr>
                <w:rFonts w:cs="Times New Roman" w:eastAsiaTheme="majorEastAsia"/>
                <w:kern w:val="0"/>
                <w:szCs w:val="21"/>
              </w:rPr>
            </w:pPr>
            <w:r>
              <w:rPr>
                <w:rFonts w:cs="Times New Roman" w:eastAsiaTheme="majorEastAsia"/>
                <w:kern w:val="0"/>
                <w:szCs w:val="21"/>
                <w:lang w:bidi="ar"/>
              </w:rPr>
              <w:t>200</w:t>
            </w:r>
          </w:p>
        </w:tc>
        <w:tc>
          <w:tcPr>
            <w:tcW w:w="366" w:type="pct"/>
            <w:vAlign w:val="center"/>
          </w:tcPr>
          <w:p w14:paraId="42FA30C7">
            <w:pPr>
              <w:jc w:val="center"/>
              <w:textAlignment w:val="center"/>
              <w:rPr>
                <w:rFonts w:cs="Times New Roman" w:eastAsiaTheme="majorEastAsia"/>
                <w:kern w:val="0"/>
                <w:szCs w:val="21"/>
                <w:lang w:bidi="ar"/>
              </w:rPr>
            </w:pPr>
            <w:r>
              <w:rPr>
                <w:rFonts w:cs="Times New Roman" w:eastAsiaTheme="majorEastAsia"/>
                <w:kern w:val="0"/>
                <w:szCs w:val="21"/>
                <w:lang w:bidi="ar"/>
              </w:rPr>
              <w:t>县农业农村局</w:t>
            </w:r>
          </w:p>
        </w:tc>
      </w:tr>
      <w:tr w14:paraId="491D8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259" w:type="pct"/>
            <w:shd w:val="clear" w:color="auto" w:fill="auto"/>
            <w:vAlign w:val="center"/>
          </w:tcPr>
          <w:p w14:paraId="6873531F">
            <w:pPr>
              <w:jc w:val="center"/>
              <w:textAlignment w:val="center"/>
              <w:rPr>
                <w:rFonts w:ascii="宋体" w:hAnsi="宋体" w:eastAsia="宋体"/>
                <w:color w:val="000000"/>
                <w:kern w:val="0"/>
                <w:sz w:val="22"/>
                <w:lang w:bidi="ar"/>
              </w:rPr>
            </w:pPr>
            <w:r>
              <w:rPr>
                <w:rFonts w:hint="eastAsia" w:ascii="宋体" w:hAnsi="宋体" w:eastAsia="宋体"/>
                <w:color w:val="000000"/>
                <w:kern w:val="0"/>
                <w:sz w:val="22"/>
                <w:lang w:bidi="ar"/>
              </w:rPr>
              <w:t>24</w:t>
            </w:r>
          </w:p>
        </w:tc>
        <w:tc>
          <w:tcPr>
            <w:tcW w:w="697" w:type="pct"/>
            <w:shd w:val="clear" w:color="000000" w:fill="FFFFFF"/>
            <w:vAlign w:val="center"/>
          </w:tcPr>
          <w:p w14:paraId="2B48AC2C">
            <w:pPr>
              <w:jc w:val="center"/>
              <w:textAlignment w:val="center"/>
              <w:rPr>
                <w:rFonts w:cs="Times New Roman" w:eastAsiaTheme="majorEastAsia"/>
                <w:kern w:val="0"/>
                <w:szCs w:val="21"/>
                <w:lang w:bidi="ar"/>
              </w:rPr>
            </w:pPr>
            <w:r>
              <w:rPr>
                <w:rFonts w:cs="Times New Roman" w:eastAsiaTheme="majorEastAsia"/>
                <w:kern w:val="0"/>
                <w:szCs w:val="21"/>
                <w:lang w:bidi="ar"/>
              </w:rPr>
              <w:t>洛隆县民族特色产品深加工提升项目</w:t>
            </w:r>
          </w:p>
        </w:tc>
        <w:tc>
          <w:tcPr>
            <w:tcW w:w="228" w:type="pct"/>
            <w:shd w:val="clear" w:color="000000" w:fill="FFFFFF"/>
          </w:tcPr>
          <w:p w14:paraId="1E01DAA5">
            <w:pPr>
              <w:jc w:val="center"/>
              <w:rPr>
                <w:rFonts w:cs="Times New Roman" w:eastAsiaTheme="majorEastAsia"/>
                <w:kern w:val="0"/>
                <w:szCs w:val="21"/>
              </w:rPr>
            </w:pPr>
            <w:r>
              <w:rPr>
                <w:rFonts w:cs="Times New Roman" w:eastAsiaTheme="majorEastAsia"/>
                <w:kern w:val="0"/>
                <w:szCs w:val="21"/>
              </w:rPr>
              <w:t>续建</w:t>
            </w:r>
          </w:p>
        </w:tc>
        <w:tc>
          <w:tcPr>
            <w:tcW w:w="2132" w:type="pct"/>
            <w:shd w:val="clear" w:color="000000" w:fill="FFFFFF"/>
            <w:vAlign w:val="center"/>
          </w:tcPr>
          <w:p w14:paraId="482DAA6E">
            <w:pPr>
              <w:jc w:val="center"/>
              <w:textAlignment w:val="center"/>
              <w:rPr>
                <w:rFonts w:cs="Times New Roman" w:eastAsiaTheme="majorEastAsia"/>
                <w:kern w:val="0"/>
                <w:szCs w:val="21"/>
              </w:rPr>
            </w:pPr>
            <w:r>
              <w:rPr>
                <w:rFonts w:cs="Times New Roman" w:eastAsiaTheme="majorEastAsia"/>
                <w:kern w:val="0"/>
                <w:szCs w:val="21"/>
                <w:lang w:bidi="ar"/>
              </w:rPr>
              <w:t>新建民族特色产品深加工提升厂房，主要对牦牛皮、藏垫、骨头、牛角、羊毛、购置相关深加工设备，完善附属设施等。</w:t>
            </w:r>
          </w:p>
        </w:tc>
        <w:tc>
          <w:tcPr>
            <w:tcW w:w="431" w:type="pct"/>
            <w:vAlign w:val="center"/>
          </w:tcPr>
          <w:p w14:paraId="1AF02A89">
            <w:pPr>
              <w:jc w:val="center"/>
              <w:textAlignment w:val="center"/>
              <w:rPr>
                <w:rFonts w:cs="Times New Roman" w:eastAsiaTheme="majorEastAsia"/>
                <w:kern w:val="0"/>
                <w:szCs w:val="21"/>
              </w:rPr>
            </w:pPr>
            <w:r>
              <w:rPr>
                <w:rFonts w:cs="Times New Roman" w:eastAsiaTheme="majorEastAsia"/>
                <w:kern w:val="0"/>
                <w:szCs w:val="21"/>
              </w:rPr>
              <w:t>2022~</w:t>
            </w:r>
            <w:r>
              <w:rPr>
                <w:rFonts w:cs="Times New Roman" w:eastAsiaTheme="majorEastAsia"/>
                <w:kern w:val="0"/>
                <w:szCs w:val="21"/>
                <w:lang w:bidi="ar"/>
              </w:rPr>
              <w:t>2025</w:t>
            </w:r>
          </w:p>
        </w:tc>
        <w:tc>
          <w:tcPr>
            <w:tcW w:w="502" w:type="pct"/>
            <w:vAlign w:val="center"/>
          </w:tcPr>
          <w:p w14:paraId="0A9C84D1">
            <w:pPr>
              <w:jc w:val="center"/>
              <w:textAlignment w:val="center"/>
              <w:rPr>
                <w:rFonts w:cs="Times New Roman" w:eastAsiaTheme="majorEastAsia"/>
                <w:kern w:val="0"/>
                <w:szCs w:val="21"/>
                <w:lang w:bidi="ar"/>
              </w:rPr>
            </w:pPr>
            <w:r>
              <w:rPr>
                <w:rFonts w:cs="Times New Roman" w:eastAsiaTheme="majorEastAsia"/>
                <w:kern w:val="0"/>
                <w:szCs w:val="21"/>
                <w:lang w:bidi="ar"/>
              </w:rPr>
              <w:t>孜托镇</w:t>
            </w:r>
          </w:p>
        </w:tc>
        <w:tc>
          <w:tcPr>
            <w:tcW w:w="381" w:type="pct"/>
            <w:noWrap/>
            <w:vAlign w:val="center"/>
          </w:tcPr>
          <w:p w14:paraId="319FFE7F">
            <w:pPr>
              <w:jc w:val="center"/>
              <w:textAlignment w:val="center"/>
              <w:rPr>
                <w:rFonts w:cs="Times New Roman" w:eastAsiaTheme="majorEastAsia"/>
                <w:kern w:val="0"/>
                <w:szCs w:val="21"/>
              </w:rPr>
            </w:pPr>
            <w:r>
              <w:rPr>
                <w:rFonts w:cs="Times New Roman" w:eastAsiaTheme="majorEastAsia"/>
                <w:kern w:val="0"/>
                <w:szCs w:val="21"/>
                <w:lang w:bidi="ar"/>
              </w:rPr>
              <w:t>500</w:t>
            </w:r>
          </w:p>
        </w:tc>
        <w:tc>
          <w:tcPr>
            <w:tcW w:w="366" w:type="pct"/>
            <w:vAlign w:val="center"/>
          </w:tcPr>
          <w:p w14:paraId="61F32D4B">
            <w:pPr>
              <w:jc w:val="center"/>
              <w:textAlignment w:val="center"/>
              <w:rPr>
                <w:rFonts w:cs="Times New Roman" w:eastAsiaTheme="majorEastAsia"/>
                <w:kern w:val="0"/>
                <w:szCs w:val="21"/>
                <w:lang w:bidi="ar"/>
              </w:rPr>
            </w:pPr>
            <w:r>
              <w:rPr>
                <w:rFonts w:cs="Times New Roman" w:eastAsiaTheme="majorEastAsia"/>
                <w:kern w:val="0"/>
                <w:szCs w:val="21"/>
                <w:lang w:bidi="ar"/>
              </w:rPr>
              <w:t>县农业农村局</w:t>
            </w:r>
          </w:p>
        </w:tc>
      </w:tr>
      <w:tr w14:paraId="18451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jc w:val="center"/>
        </w:trPr>
        <w:tc>
          <w:tcPr>
            <w:tcW w:w="259" w:type="pct"/>
            <w:shd w:val="clear" w:color="auto" w:fill="auto"/>
            <w:vAlign w:val="center"/>
          </w:tcPr>
          <w:p w14:paraId="0D4FE067">
            <w:pPr>
              <w:jc w:val="center"/>
              <w:textAlignment w:val="center"/>
              <w:rPr>
                <w:rFonts w:ascii="宋体" w:hAnsi="宋体" w:eastAsia="宋体"/>
                <w:color w:val="000000"/>
                <w:kern w:val="0"/>
                <w:sz w:val="22"/>
                <w:lang w:bidi="ar"/>
              </w:rPr>
            </w:pPr>
            <w:r>
              <w:rPr>
                <w:rFonts w:hint="eastAsia" w:ascii="宋体" w:hAnsi="宋体" w:eastAsia="宋体"/>
                <w:color w:val="000000"/>
                <w:kern w:val="0"/>
                <w:sz w:val="22"/>
                <w:lang w:bidi="ar"/>
              </w:rPr>
              <w:t>25</w:t>
            </w:r>
          </w:p>
        </w:tc>
        <w:tc>
          <w:tcPr>
            <w:tcW w:w="697" w:type="pct"/>
            <w:shd w:val="clear" w:color="000000" w:fill="FFFFFF"/>
            <w:vAlign w:val="center"/>
          </w:tcPr>
          <w:p w14:paraId="4C6091E1">
            <w:pPr>
              <w:jc w:val="center"/>
              <w:textAlignment w:val="center"/>
              <w:rPr>
                <w:rFonts w:cs="Times New Roman" w:eastAsiaTheme="majorEastAsia"/>
                <w:kern w:val="0"/>
                <w:szCs w:val="21"/>
                <w:lang w:bidi="ar"/>
              </w:rPr>
            </w:pPr>
            <w:r>
              <w:rPr>
                <w:rFonts w:cs="Times New Roman" w:eastAsiaTheme="majorEastAsia"/>
                <w:kern w:val="0"/>
                <w:szCs w:val="21"/>
                <w:lang w:bidi="ar"/>
              </w:rPr>
              <w:t>洛隆县青稞系列特色深加工厂房提升项目</w:t>
            </w:r>
          </w:p>
        </w:tc>
        <w:tc>
          <w:tcPr>
            <w:tcW w:w="228" w:type="pct"/>
            <w:shd w:val="clear" w:color="000000" w:fill="FFFFFF"/>
          </w:tcPr>
          <w:p w14:paraId="2FC94300">
            <w:pPr>
              <w:jc w:val="center"/>
              <w:rPr>
                <w:rFonts w:cs="Times New Roman" w:eastAsiaTheme="majorEastAsia"/>
                <w:kern w:val="0"/>
                <w:szCs w:val="21"/>
              </w:rPr>
            </w:pPr>
            <w:r>
              <w:rPr>
                <w:rFonts w:cs="Times New Roman" w:eastAsiaTheme="majorEastAsia"/>
                <w:kern w:val="0"/>
                <w:szCs w:val="21"/>
              </w:rPr>
              <w:t>续建</w:t>
            </w:r>
          </w:p>
        </w:tc>
        <w:tc>
          <w:tcPr>
            <w:tcW w:w="2132" w:type="pct"/>
            <w:shd w:val="clear" w:color="000000" w:fill="FFFFFF"/>
            <w:vAlign w:val="center"/>
          </w:tcPr>
          <w:p w14:paraId="571C1DCE">
            <w:pPr>
              <w:jc w:val="center"/>
              <w:textAlignment w:val="center"/>
              <w:rPr>
                <w:rFonts w:cs="Times New Roman" w:eastAsiaTheme="majorEastAsia"/>
                <w:kern w:val="0"/>
                <w:szCs w:val="21"/>
              </w:rPr>
            </w:pPr>
            <w:r>
              <w:rPr>
                <w:rFonts w:cs="Times New Roman" w:eastAsiaTheme="majorEastAsia"/>
                <w:kern w:val="0"/>
                <w:szCs w:val="21"/>
                <w:lang w:bidi="ar"/>
              </w:rPr>
              <w:t>对洛隆县洛宗加工厂饼干生产线、挂面生产线、糌粑生产乡进行升级改造，实现产品生产加工无菌害处理，升级改造相关设备，建设产品研发中心，完善相关附属等。</w:t>
            </w:r>
          </w:p>
        </w:tc>
        <w:tc>
          <w:tcPr>
            <w:tcW w:w="431" w:type="pct"/>
            <w:vAlign w:val="center"/>
          </w:tcPr>
          <w:p w14:paraId="6CB05AA0">
            <w:pPr>
              <w:jc w:val="center"/>
              <w:textAlignment w:val="center"/>
              <w:rPr>
                <w:rFonts w:cs="Times New Roman" w:eastAsiaTheme="majorEastAsia"/>
                <w:kern w:val="0"/>
                <w:szCs w:val="21"/>
              </w:rPr>
            </w:pPr>
            <w:r>
              <w:rPr>
                <w:rFonts w:cs="Times New Roman" w:eastAsiaTheme="majorEastAsia"/>
                <w:kern w:val="0"/>
                <w:szCs w:val="21"/>
              </w:rPr>
              <w:t>2022~</w:t>
            </w:r>
            <w:r>
              <w:rPr>
                <w:rFonts w:cs="Times New Roman" w:eastAsiaTheme="majorEastAsia"/>
                <w:kern w:val="0"/>
                <w:szCs w:val="21"/>
                <w:lang w:bidi="ar"/>
              </w:rPr>
              <w:t>2025</w:t>
            </w:r>
          </w:p>
        </w:tc>
        <w:tc>
          <w:tcPr>
            <w:tcW w:w="502" w:type="pct"/>
            <w:vAlign w:val="center"/>
          </w:tcPr>
          <w:p w14:paraId="44919074">
            <w:pPr>
              <w:jc w:val="center"/>
              <w:textAlignment w:val="center"/>
              <w:rPr>
                <w:rFonts w:cs="Times New Roman" w:eastAsiaTheme="majorEastAsia"/>
                <w:kern w:val="0"/>
                <w:szCs w:val="21"/>
                <w:lang w:bidi="ar"/>
              </w:rPr>
            </w:pPr>
            <w:r>
              <w:rPr>
                <w:rFonts w:cs="Times New Roman" w:eastAsiaTheme="majorEastAsia"/>
                <w:kern w:val="0"/>
                <w:szCs w:val="21"/>
                <w:lang w:bidi="ar"/>
              </w:rPr>
              <w:t>孜托镇</w:t>
            </w:r>
          </w:p>
        </w:tc>
        <w:tc>
          <w:tcPr>
            <w:tcW w:w="381" w:type="pct"/>
            <w:noWrap/>
            <w:vAlign w:val="center"/>
          </w:tcPr>
          <w:p w14:paraId="1F5F9460">
            <w:pPr>
              <w:jc w:val="center"/>
              <w:textAlignment w:val="center"/>
              <w:rPr>
                <w:rFonts w:cs="Times New Roman" w:eastAsiaTheme="majorEastAsia"/>
                <w:kern w:val="0"/>
                <w:szCs w:val="21"/>
              </w:rPr>
            </w:pPr>
            <w:r>
              <w:rPr>
                <w:rFonts w:cs="Times New Roman" w:eastAsiaTheme="majorEastAsia"/>
                <w:kern w:val="0"/>
                <w:szCs w:val="21"/>
                <w:lang w:bidi="ar"/>
              </w:rPr>
              <w:t>1500</w:t>
            </w:r>
          </w:p>
        </w:tc>
        <w:tc>
          <w:tcPr>
            <w:tcW w:w="366" w:type="pct"/>
            <w:vAlign w:val="center"/>
          </w:tcPr>
          <w:p w14:paraId="30CBDF5F">
            <w:pPr>
              <w:jc w:val="center"/>
              <w:textAlignment w:val="center"/>
              <w:rPr>
                <w:rFonts w:cs="Times New Roman" w:eastAsiaTheme="majorEastAsia"/>
                <w:kern w:val="0"/>
                <w:szCs w:val="21"/>
                <w:lang w:bidi="ar"/>
              </w:rPr>
            </w:pPr>
            <w:r>
              <w:rPr>
                <w:rFonts w:cs="Times New Roman" w:eastAsiaTheme="majorEastAsia"/>
                <w:kern w:val="0"/>
                <w:szCs w:val="21"/>
                <w:lang w:bidi="ar"/>
              </w:rPr>
              <w:t>县农业农村局</w:t>
            </w:r>
          </w:p>
        </w:tc>
      </w:tr>
      <w:tr w14:paraId="0CACD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jc w:val="center"/>
        </w:trPr>
        <w:tc>
          <w:tcPr>
            <w:tcW w:w="259" w:type="pct"/>
            <w:shd w:val="clear" w:color="auto" w:fill="auto"/>
            <w:vAlign w:val="center"/>
          </w:tcPr>
          <w:p w14:paraId="2DAB2637">
            <w:pPr>
              <w:jc w:val="center"/>
              <w:textAlignment w:val="center"/>
              <w:rPr>
                <w:rFonts w:ascii="宋体" w:hAnsi="宋体" w:eastAsia="宋体"/>
                <w:color w:val="000000"/>
                <w:kern w:val="0"/>
                <w:sz w:val="22"/>
                <w:lang w:bidi="ar"/>
              </w:rPr>
            </w:pPr>
            <w:r>
              <w:rPr>
                <w:rFonts w:hint="eastAsia" w:ascii="宋体" w:hAnsi="宋体" w:eastAsia="宋体"/>
                <w:color w:val="000000"/>
                <w:kern w:val="0"/>
                <w:sz w:val="22"/>
                <w:lang w:bidi="ar"/>
              </w:rPr>
              <w:t>26</w:t>
            </w:r>
          </w:p>
        </w:tc>
        <w:tc>
          <w:tcPr>
            <w:tcW w:w="697" w:type="pct"/>
            <w:shd w:val="clear" w:color="000000" w:fill="FFFFFF"/>
            <w:vAlign w:val="center"/>
          </w:tcPr>
          <w:p w14:paraId="19E5CCF2">
            <w:pPr>
              <w:jc w:val="center"/>
              <w:textAlignment w:val="center"/>
              <w:rPr>
                <w:rFonts w:cs="Times New Roman" w:eastAsiaTheme="majorEastAsia"/>
                <w:kern w:val="0"/>
                <w:szCs w:val="21"/>
                <w:lang w:bidi="ar"/>
              </w:rPr>
            </w:pPr>
            <w:r>
              <w:rPr>
                <w:rFonts w:cs="Times New Roman" w:eastAsiaTheme="majorEastAsia"/>
                <w:kern w:val="0"/>
                <w:szCs w:val="21"/>
                <w:lang w:bidi="ar"/>
              </w:rPr>
              <w:t>洛隆县经济林木种植基地建设项目</w:t>
            </w:r>
          </w:p>
        </w:tc>
        <w:tc>
          <w:tcPr>
            <w:tcW w:w="228" w:type="pct"/>
            <w:shd w:val="clear" w:color="000000" w:fill="FFFFFF"/>
          </w:tcPr>
          <w:p w14:paraId="1FF425E6">
            <w:pPr>
              <w:jc w:val="center"/>
              <w:rPr>
                <w:rFonts w:cs="Times New Roman" w:eastAsiaTheme="majorEastAsia"/>
                <w:kern w:val="0"/>
                <w:szCs w:val="21"/>
              </w:rPr>
            </w:pPr>
            <w:r>
              <w:rPr>
                <w:rFonts w:cs="Times New Roman" w:eastAsiaTheme="majorEastAsia"/>
                <w:kern w:val="0"/>
                <w:szCs w:val="21"/>
              </w:rPr>
              <w:t>续建</w:t>
            </w:r>
          </w:p>
        </w:tc>
        <w:tc>
          <w:tcPr>
            <w:tcW w:w="2132" w:type="pct"/>
            <w:shd w:val="clear" w:color="000000" w:fill="FFFFFF"/>
            <w:vAlign w:val="center"/>
          </w:tcPr>
          <w:p w14:paraId="745EB50E">
            <w:pPr>
              <w:jc w:val="center"/>
              <w:textAlignment w:val="center"/>
              <w:rPr>
                <w:rFonts w:cs="Times New Roman" w:eastAsiaTheme="majorEastAsia"/>
                <w:kern w:val="0"/>
                <w:szCs w:val="21"/>
              </w:rPr>
            </w:pPr>
            <w:r>
              <w:rPr>
                <w:rFonts w:cs="Times New Roman" w:eastAsiaTheme="majorEastAsia"/>
                <w:kern w:val="0"/>
                <w:szCs w:val="21"/>
                <w:lang w:bidi="ar"/>
              </w:rPr>
              <w:t>种植经济林木约</w:t>
            </w:r>
            <w:r>
              <w:rPr>
                <w:rStyle w:val="356"/>
                <w:rFonts w:hint="default" w:eastAsiaTheme="majorEastAsia"/>
                <w:color w:val="auto"/>
                <w:sz w:val="21"/>
                <w:szCs w:val="21"/>
                <w:lang w:bidi="ar"/>
              </w:rPr>
              <w:t>900</w:t>
            </w:r>
            <w:r>
              <w:rPr>
                <w:rFonts w:cs="Times New Roman" w:eastAsiaTheme="majorEastAsia"/>
                <w:kern w:val="0"/>
                <w:szCs w:val="21"/>
                <w:lang w:bidi="ar"/>
              </w:rPr>
              <w:t>亩，主要种植水蜜桃、苹果、核桃、山杏、花椒等经济林。</w:t>
            </w:r>
          </w:p>
        </w:tc>
        <w:tc>
          <w:tcPr>
            <w:tcW w:w="431" w:type="pct"/>
            <w:vAlign w:val="center"/>
          </w:tcPr>
          <w:p w14:paraId="7054C561">
            <w:pPr>
              <w:jc w:val="center"/>
              <w:textAlignment w:val="center"/>
              <w:rPr>
                <w:rFonts w:cs="Times New Roman" w:eastAsiaTheme="majorEastAsia"/>
                <w:kern w:val="0"/>
                <w:szCs w:val="21"/>
              </w:rPr>
            </w:pPr>
            <w:r>
              <w:rPr>
                <w:rFonts w:cs="Times New Roman" w:eastAsiaTheme="majorEastAsia"/>
                <w:kern w:val="0"/>
                <w:szCs w:val="21"/>
              </w:rPr>
              <w:t>2022~</w:t>
            </w:r>
            <w:r>
              <w:rPr>
                <w:rFonts w:cs="Times New Roman" w:eastAsiaTheme="majorEastAsia"/>
                <w:kern w:val="0"/>
                <w:szCs w:val="21"/>
                <w:lang w:bidi="ar"/>
              </w:rPr>
              <w:t>2025</w:t>
            </w:r>
          </w:p>
        </w:tc>
        <w:tc>
          <w:tcPr>
            <w:tcW w:w="502" w:type="pct"/>
            <w:vAlign w:val="center"/>
          </w:tcPr>
          <w:p w14:paraId="7F251EA2">
            <w:pPr>
              <w:jc w:val="center"/>
              <w:textAlignment w:val="center"/>
              <w:rPr>
                <w:rFonts w:cs="Times New Roman" w:eastAsiaTheme="majorEastAsia"/>
                <w:kern w:val="0"/>
                <w:szCs w:val="21"/>
                <w:lang w:bidi="ar"/>
              </w:rPr>
            </w:pPr>
            <w:r>
              <w:rPr>
                <w:rFonts w:cs="Times New Roman" w:eastAsiaTheme="majorEastAsia"/>
                <w:kern w:val="0"/>
                <w:szCs w:val="21"/>
                <w:lang w:bidi="ar"/>
              </w:rPr>
              <w:t>俄西乡、马利镇、白达乡、腊久乡等</w:t>
            </w:r>
          </w:p>
        </w:tc>
        <w:tc>
          <w:tcPr>
            <w:tcW w:w="381" w:type="pct"/>
            <w:noWrap/>
            <w:vAlign w:val="center"/>
          </w:tcPr>
          <w:p w14:paraId="4E152B8E">
            <w:pPr>
              <w:jc w:val="center"/>
              <w:textAlignment w:val="center"/>
              <w:rPr>
                <w:rFonts w:cs="Times New Roman" w:eastAsiaTheme="majorEastAsia"/>
                <w:kern w:val="0"/>
                <w:szCs w:val="21"/>
              </w:rPr>
            </w:pPr>
            <w:r>
              <w:rPr>
                <w:rFonts w:cs="Times New Roman" w:eastAsiaTheme="majorEastAsia"/>
                <w:kern w:val="0"/>
                <w:szCs w:val="21"/>
                <w:lang w:bidi="ar"/>
              </w:rPr>
              <w:t>2800</w:t>
            </w:r>
          </w:p>
        </w:tc>
        <w:tc>
          <w:tcPr>
            <w:tcW w:w="366" w:type="pct"/>
            <w:vAlign w:val="center"/>
          </w:tcPr>
          <w:p w14:paraId="1D34C66C">
            <w:pPr>
              <w:jc w:val="center"/>
              <w:textAlignment w:val="center"/>
              <w:rPr>
                <w:rFonts w:cs="Times New Roman" w:eastAsiaTheme="majorEastAsia"/>
                <w:kern w:val="0"/>
                <w:szCs w:val="21"/>
                <w:lang w:bidi="ar"/>
              </w:rPr>
            </w:pPr>
            <w:r>
              <w:rPr>
                <w:rFonts w:cs="Times New Roman" w:eastAsiaTheme="majorEastAsia"/>
                <w:kern w:val="0"/>
                <w:szCs w:val="21"/>
                <w:lang w:bidi="ar"/>
              </w:rPr>
              <w:t>县农业农村局</w:t>
            </w:r>
          </w:p>
        </w:tc>
      </w:tr>
      <w:tr w14:paraId="55B17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59" w:type="pct"/>
            <w:shd w:val="clear" w:color="auto" w:fill="auto"/>
            <w:vAlign w:val="center"/>
          </w:tcPr>
          <w:p w14:paraId="5EA432B5">
            <w:pPr>
              <w:jc w:val="center"/>
              <w:textAlignment w:val="center"/>
              <w:rPr>
                <w:rFonts w:ascii="宋体" w:hAnsi="宋体" w:eastAsia="宋体"/>
                <w:color w:val="000000"/>
                <w:kern w:val="0"/>
                <w:sz w:val="22"/>
                <w:lang w:bidi="ar"/>
              </w:rPr>
            </w:pPr>
            <w:r>
              <w:rPr>
                <w:rFonts w:hint="eastAsia" w:ascii="宋体" w:hAnsi="宋体" w:eastAsia="宋体"/>
                <w:color w:val="000000"/>
                <w:kern w:val="0"/>
                <w:sz w:val="22"/>
                <w:lang w:bidi="ar"/>
              </w:rPr>
              <w:t>27</w:t>
            </w:r>
          </w:p>
        </w:tc>
        <w:tc>
          <w:tcPr>
            <w:tcW w:w="697" w:type="pct"/>
            <w:shd w:val="clear" w:color="000000" w:fill="FFFFFF"/>
            <w:vAlign w:val="center"/>
          </w:tcPr>
          <w:p w14:paraId="5C3A35F3">
            <w:pPr>
              <w:jc w:val="center"/>
              <w:textAlignment w:val="center"/>
              <w:rPr>
                <w:rFonts w:cs="Times New Roman" w:eastAsiaTheme="majorEastAsia"/>
                <w:kern w:val="0"/>
                <w:szCs w:val="21"/>
                <w:lang w:bidi="ar"/>
              </w:rPr>
            </w:pPr>
            <w:r>
              <w:rPr>
                <w:rFonts w:cs="Times New Roman" w:eastAsiaTheme="majorEastAsia"/>
                <w:kern w:val="0"/>
                <w:szCs w:val="21"/>
                <w:lang w:bidi="ar"/>
              </w:rPr>
              <w:t>洛隆县智慧能源示范项目</w:t>
            </w:r>
          </w:p>
        </w:tc>
        <w:tc>
          <w:tcPr>
            <w:tcW w:w="228" w:type="pct"/>
            <w:shd w:val="clear" w:color="000000" w:fill="FFFFFF"/>
          </w:tcPr>
          <w:p w14:paraId="40349035">
            <w:pPr>
              <w:jc w:val="center"/>
              <w:rPr>
                <w:rFonts w:cs="Times New Roman" w:eastAsiaTheme="majorEastAsia"/>
                <w:kern w:val="0"/>
                <w:szCs w:val="21"/>
              </w:rPr>
            </w:pPr>
            <w:r>
              <w:rPr>
                <w:rFonts w:cs="Times New Roman" w:eastAsiaTheme="majorEastAsia"/>
                <w:kern w:val="0"/>
                <w:szCs w:val="21"/>
              </w:rPr>
              <w:t>续建</w:t>
            </w:r>
          </w:p>
        </w:tc>
        <w:tc>
          <w:tcPr>
            <w:tcW w:w="2132" w:type="pct"/>
            <w:shd w:val="clear" w:color="000000" w:fill="FFFFFF"/>
            <w:vAlign w:val="center"/>
          </w:tcPr>
          <w:p w14:paraId="3B8D0E6E">
            <w:pPr>
              <w:jc w:val="center"/>
              <w:textAlignment w:val="center"/>
              <w:rPr>
                <w:rFonts w:cs="Times New Roman" w:eastAsiaTheme="majorEastAsia"/>
                <w:kern w:val="0"/>
                <w:szCs w:val="21"/>
              </w:rPr>
            </w:pPr>
            <w:r>
              <w:rPr>
                <w:rFonts w:cs="Times New Roman" w:eastAsiaTheme="majorEastAsia"/>
                <w:kern w:val="0"/>
                <w:szCs w:val="21"/>
                <w:lang w:bidi="ar"/>
              </w:rPr>
              <w:t>建设光伏发电系统100MW，电化学储能装置20MW，上网模式：拟通过单回110千伏线路接入洛隆变电站；建设清洁供暖系统，包括热能站、供热管网、供暖末端及建筑物改造，总供暖面积为149万平方米。</w:t>
            </w:r>
          </w:p>
        </w:tc>
        <w:tc>
          <w:tcPr>
            <w:tcW w:w="431" w:type="pct"/>
            <w:vAlign w:val="center"/>
          </w:tcPr>
          <w:p w14:paraId="2D6F6F40">
            <w:pPr>
              <w:jc w:val="center"/>
              <w:textAlignment w:val="center"/>
              <w:rPr>
                <w:rFonts w:cs="Times New Roman" w:eastAsiaTheme="majorEastAsia"/>
                <w:kern w:val="0"/>
                <w:szCs w:val="21"/>
              </w:rPr>
            </w:pPr>
            <w:r>
              <w:rPr>
                <w:rFonts w:cs="Times New Roman" w:eastAsiaTheme="majorEastAsia"/>
                <w:kern w:val="0"/>
                <w:szCs w:val="21"/>
              </w:rPr>
              <w:t>2022~</w:t>
            </w:r>
            <w:r>
              <w:rPr>
                <w:rFonts w:cs="Times New Roman" w:eastAsiaTheme="majorEastAsia"/>
                <w:kern w:val="0"/>
                <w:szCs w:val="21"/>
                <w:lang w:bidi="ar"/>
              </w:rPr>
              <w:t>2025</w:t>
            </w:r>
          </w:p>
        </w:tc>
        <w:tc>
          <w:tcPr>
            <w:tcW w:w="502" w:type="pct"/>
            <w:vAlign w:val="center"/>
          </w:tcPr>
          <w:p w14:paraId="270BA333">
            <w:pPr>
              <w:jc w:val="center"/>
              <w:textAlignment w:val="center"/>
              <w:rPr>
                <w:rFonts w:cs="Times New Roman" w:eastAsiaTheme="majorEastAsia"/>
                <w:kern w:val="0"/>
                <w:szCs w:val="21"/>
                <w:lang w:bidi="ar"/>
              </w:rPr>
            </w:pPr>
            <w:r>
              <w:rPr>
                <w:rFonts w:cs="Times New Roman" w:eastAsiaTheme="majorEastAsia"/>
                <w:kern w:val="0"/>
                <w:szCs w:val="21"/>
                <w:lang w:bidi="ar"/>
              </w:rPr>
              <w:t>洛隆县</w:t>
            </w:r>
          </w:p>
        </w:tc>
        <w:tc>
          <w:tcPr>
            <w:tcW w:w="381" w:type="pct"/>
            <w:noWrap/>
            <w:vAlign w:val="center"/>
          </w:tcPr>
          <w:p w14:paraId="048090CE">
            <w:pPr>
              <w:jc w:val="center"/>
              <w:textAlignment w:val="center"/>
              <w:rPr>
                <w:rFonts w:cs="Times New Roman" w:eastAsiaTheme="majorEastAsia"/>
                <w:kern w:val="0"/>
                <w:szCs w:val="21"/>
              </w:rPr>
            </w:pPr>
            <w:r>
              <w:rPr>
                <w:rFonts w:cs="Times New Roman" w:eastAsiaTheme="majorEastAsia"/>
                <w:kern w:val="0"/>
                <w:szCs w:val="21"/>
                <w:lang w:bidi="ar"/>
              </w:rPr>
              <w:t>100000</w:t>
            </w:r>
          </w:p>
        </w:tc>
        <w:tc>
          <w:tcPr>
            <w:tcW w:w="366" w:type="pct"/>
            <w:vAlign w:val="center"/>
          </w:tcPr>
          <w:p w14:paraId="533FE7EE">
            <w:pPr>
              <w:jc w:val="center"/>
              <w:textAlignment w:val="center"/>
              <w:rPr>
                <w:rFonts w:cs="Times New Roman" w:eastAsiaTheme="majorEastAsia"/>
                <w:kern w:val="0"/>
                <w:szCs w:val="21"/>
                <w:lang w:bidi="ar"/>
              </w:rPr>
            </w:pPr>
            <w:r>
              <w:rPr>
                <w:rFonts w:cs="Times New Roman" w:eastAsiaTheme="majorEastAsia"/>
                <w:kern w:val="0"/>
                <w:szCs w:val="21"/>
                <w:lang w:bidi="ar"/>
              </w:rPr>
              <w:t>县发改委</w:t>
            </w:r>
          </w:p>
        </w:tc>
      </w:tr>
      <w:tr w14:paraId="31342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259" w:type="pct"/>
            <w:shd w:val="clear" w:color="auto" w:fill="auto"/>
            <w:vAlign w:val="center"/>
          </w:tcPr>
          <w:p w14:paraId="1563537D">
            <w:pPr>
              <w:jc w:val="center"/>
              <w:textAlignment w:val="center"/>
              <w:rPr>
                <w:rFonts w:ascii="宋体" w:hAnsi="宋体" w:eastAsia="宋体"/>
                <w:color w:val="000000"/>
                <w:kern w:val="0"/>
                <w:sz w:val="22"/>
                <w:lang w:bidi="ar"/>
              </w:rPr>
            </w:pPr>
            <w:r>
              <w:rPr>
                <w:rFonts w:hint="eastAsia" w:ascii="宋体" w:hAnsi="宋体" w:eastAsia="宋体"/>
                <w:color w:val="000000"/>
                <w:kern w:val="0"/>
                <w:sz w:val="22"/>
                <w:lang w:bidi="ar"/>
              </w:rPr>
              <w:t>28</w:t>
            </w:r>
          </w:p>
        </w:tc>
        <w:tc>
          <w:tcPr>
            <w:tcW w:w="697" w:type="pct"/>
            <w:shd w:val="clear" w:color="000000" w:fill="FFFFFF"/>
            <w:vAlign w:val="center"/>
          </w:tcPr>
          <w:p w14:paraId="1E86A65F">
            <w:pPr>
              <w:jc w:val="center"/>
              <w:textAlignment w:val="center"/>
              <w:rPr>
                <w:rFonts w:cs="Times New Roman" w:eastAsiaTheme="majorEastAsia"/>
                <w:kern w:val="0"/>
                <w:szCs w:val="21"/>
                <w:lang w:bidi="ar"/>
              </w:rPr>
            </w:pPr>
            <w:r>
              <w:rPr>
                <w:rFonts w:cs="Times New Roman" w:eastAsiaTheme="majorEastAsia"/>
                <w:kern w:val="0"/>
                <w:szCs w:val="21"/>
                <w:lang w:bidi="ar"/>
              </w:rPr>
              <w:t>洛隆县县城节水型机关建设</w:t>
            </w:r>
          </w:p>
        </w:tc>
        <w:tc>
          <w:tcPr>
            <w:tcW w:w="228" w:type="pct"/>
            <w:shd w:val="clear" w:color="000000" w:fill="FFFFFF"/>
          </w:tcPr>
          <w:p w14:paraId="2EA95AB0">
            <w:pPr>
              <w:jc w:val="center"/>
              <w:rPr>
                <w:rFonts w:cs="Times New Roman" w:eastAsiaTheme="majorEastAsia"/>
                <w:kern w:val="0"/>
                <w:szCs w:val="21"/>
              </w:rPr>
            </w:pPr>
            <w:r>
              <w:rPr>
                <w:rFonts w:cs="Times New Roman" w:eastAsiaTheme="majorEastAsia"/>
                <w:kern w:val="0"/>
                <w:szCs w:val="21"/>
              </w:rPr>
              <w:t>续建</w:t>
            </w:r>
          </w:p>
        </w:tc>
        <w:tc>
          <w:tcPr>
            <w:tcW w:w="2132" w:type="pct"/>
            <w:shd w:val="clear" w:color="000000" w:fill="FFFFFF"/>
            <w:vAlign w:val="center"/>
          </w:tcPr>
          <w:p w14:paraId="3208D30D">
            <w:pPr>
              <w:jc w:val="center"/>
              <w:textAlignment w:val="center"/>
              <w:rPr>
                <w:rFonts w:cs="Times New Roman" w:eastAsiaTheme="majorEastAsia"/>
                <w:kern w:val="0"/>
                <w:szCs w:val="21"/>
              </w:rPr>
            </w:pPr>
            <w:r>
              <w:rPr>
                <w:rFonts w:cs="Times New Roman" w:eastAsiaTheme="majorEastAsia"/>
                <w:kern w:val="0"/>
                <w:szCs w:val="21"/>
                <w:lang w:bidi="ar"/>
              </w:rPr>
              <w:t>节水管网改造20公里、配套建设绿化喷灌设施、用水器具和设施更新、非常规水利用设施、计量设施、宣传资料等</w:t>
            </w:r>
          </w:p>
        </w:tc>
        <w:tc>
          <w:tcPr>
            <w:tcW w:w="431" w:type="pct"/>
            <w:vAlign w:val="center"/>
          </w:tcPr>
          <w:p w14:paraId="17956DA5">
            <w:pPr>
              <w:jc w:val="center"/>
              <w:textAlignment w:val="center"/>
              <w:rPr>
                <w:rFonts w:cs="Times New Roman" w:eastAsiaTheme="majorEastAsia"/>
                <w:kern w:val="0"/>
                <w:szCs w:val="21"/>
              </w:rPr>
            </w:pPr>
            <w:r>
              <w:rPr>
                <w:rFonts w:cs="Times New Roman" w:eastAsiaTheme="majorEastAsia"/>
                <w:kern w:val="0"/>
                <w:szCs w:val="21"/>
              </w:rPr>
              <w:t>2022~</w:t>
            </w:r>
            <w:r>
              <w:rPr>
                <w:rFonts w:cs="Times New Roman" w:eastAsiaTheme="majorEastAsia"/>
                <w:kern w:val="0"/>
                <w:szCs w:val="21"/>
                <w:lang w:bidi="ar"/>
              </w:rPr>
              <w:t>2025</w:t>
            </w:r>
          </w:p>
        </w:tc>
        <w:tc>
          <w:tcPr>
            <w:tcW w:w="502" w:type="pct"/>
            <w:vAlign w:val="center"/>
          </w:tcPr>
          <w:p w14:paraId="5A9C1733">
            <w:pPr>
              <w:jc w:val="center"/>
              <w:textAlignment w:val="center"/>
              <w:rPr>
                <w:rFonts w:cs="Times New Roman" w:eastAsiaTheme="majorEastAsia"/>
                <w:kern w:val="0"/>
                <w:szCs w:val="21"/>
                <w:lang w:bidi="ar"/>
              </w:rPr>
            </w:pPr>
            <w:r>
              <w:rPr>
                <w:rFonts w:cs="Times New Roman" w:eastAsiaTheme="majorEastAsia"/>
                <w:kern w:val="0"/>
                <w:szCs w:val="21"/>
                <w:lang w:bidi="ar"/>
              </w:rPr>
              <w:t>县城</w:t>
            </w:r>
          </w:p>
        </w:tc>
        <w:tc>
          <w:tcPr>
            <w:tcW w:w="381" w:type="pct"/>
            <w:noWrap/>
            <w:vAlign w:val="center"/>
          </w:tcPr>
          <w:p w14:paraId="3132EB93">
            <w:pPr>
              <w:jc w:val="center"/>
              <w:textAlignment w:val="center"/>
              <w:rPr>
                <w:rFonts w:cs="Times New Roman" w:eastAsiaTheme="majorEastAsia"/>
                <w:kern w:val="0"/>
                <w:szCs w:val="21"/>
              </w:rPr>
            </w:pPr>
            <w:r>
              <w:rPr>
                <w:rFonts w:cs="Times New Roman" w:eastAsiaTheme="majorEastAsia"/>
                <w:kern w:val="0"/>
                <w:szCs w:val="21"/>
                <w:lang w:bidi="ar"/>
              </w:rPr>
              <w:t>2500</w:t>
            </w:r>
          </w:p>
        </w:tc>
        <w:tc>
          <w:tcPr>
            <w:tcW w:w="366" w:type="pct"/>
            <w:vAlign w:val="center"/>
          </w:tcPr>
          <w:p w14:paraId="09843D66">
            <w:pPr>
              <w:jc w:val="center"/>
              <w:textAlignment w:val="center"/>
              <w:rPr>
                <w:rFonts w:cs="Times New Roman" w:eastAsiaTheme="majorEastAsia"/>
                <w:kern w:val="0"/>
                <w:szCs w:val="21"/>
                <w:lang w:bidi="ar"/>
              </w:rPr>
            </w:pPr>
            <w:r>
              <w:rPr>
                <w:rFonts w:cs="Times New Roman" w:eastAsiaTheme="majorEastAsia"/>
                <w:kern w:val="0"/>
                <w:szCs w:val="21"/>
                <w:lang w:bidi="ar"/>
              </w:rPr>
              <w:t>县水利局</w:t>
            </w:r>
          </w:p>
        </w:tc>
      </w:tr>
      <w:tr w14:paraId="75599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259" w:type="pct"/>
            <w:shd w:val="clear" w:color="auto" w:fill="auto"/>
            <w:vAlign w:val="center"/>
          </w:tcPr>
          <w:p w14:paraId="37E70BB6">
            <w:pPr>
              <w:jc w:val="center"/>
              <w:textAlignment w:val="center"/>
              <w:rPr>
                <w:rFonts w:ascii="宋体" w:hAnsi="宋体" w:eastAsia="宋体"/>
                <w:color w:val="000000"/>
                <w:kern w:val="0"/>
                <w:sz w:val="22"/>
                <w:lang w:bidi="ar"/>
              </w:rPr>
            </w:pPr>
            <w:r>
              <w:rPr>
                <w:rFonts w:hint="eastAsia" w:ascii="宋体" w:hAnsi="宋体" w:eastAsia="宋体"/>
                <w:color w:val="000000"/>
                <w:kern w:val="0"/>
                <w:sz w:val="22"/>
                <w:lang w:bidi="ar"/>
              </w:rPr>
              <w:t>29</w:t>
            </w:r>
          </w:p>
        </w:tc>
        <w:tc>
          <w:tcPr>
            <w:tcW w:w="697" w:type="pct"/>
            <w:shd w:val="clear" w:color="000000" w:fill="FFFFFF"/>
            <w:vAlign w:val="center"/>
          </w:tcPr>
          <w:p w14:paraId="35B9051B">
            <w:pPr>
              <w:jc w:val="center"/>
              <w:textAlignment w:val="center"/>
              <w:rPr>
                <w:rFonts w:cs="Times New Roman" w:eastAsiaTheme="majorEastAsia"/>
                <w:kern w:val="0"/>
                <w:szCs w:val="21"/>
                <w:lang w:bidi="ar"/>
              </w:rPr>
            </w:pPr>
            <w:r>
              <w:rPr>
                <w:rFonts w:cs="Times New Roman" w:eastAsiaTheme="majorEastAsia"/>
                <w:kern w:val="0"/>
                <w:szCs w:val="21"/>
                <w:lang w:bidi="ar"/>
              </w:rPr>
              <w:t>硕督历史文化名镇旅游基础设施建设项目</w:t>
            </w:r>
          </w:p>
        </w:tc>
        <w:tc>
          <w:tcPr>
            <w:tcW w:w="228" w:type="pct"/>
            <w:shd w:val="clear" w:color="000000" w:fill="FFFFFF"/>
          </w:tcPr>
          <w:p w14:paraId="1605BB4C">
            <w:pPr>
              <w:jc w:val="center"/>
              <w:rPr>
                <w:rFonts w:cs="Times New Roman" w:eastAsiaTheme="majorEastAsia"/>
                <w:kern w:val="0"/>
                <w:szCs w:val="21"/>
              </w:rPr>
            </w:pPr>
            <w:r>
              <w:rPr>
                <w:rFonts w:cs="Times New Roman" w:eastAsiaTheme="majorEastAsia"/>
                <w:kern w:val="0"/>
                <w:szCs w:val="21"/>
              </w:rPr>
              <w:t>续建</w:t>
            </w:r>
          </w:p>
        </w:tc>
        <w:tc>
          <w:tcPr>
            <w:tcW w:w="2132" w:type="pct"/>
            <w:shd w:val="clear" w:color="000000" w:fill="FFFFFF"/>
            <w:vAlign w:val="center"/>
          </w:tcPr>
          <w:p w14:paraId="74EF07F5">
            <w:pPr>
              <w:jc w:val="center"/>
              <w:textAlignment w:val="center"/>
              <w:rPr>
                <w:rFonts w:cs="Times New Roman" w:eastAsiaTheme="majorEastAsia"/>
                <w:kern w:val="0"/>
                <w:szCs w:val="21"/>
                <w:lang w:bidi="ar"/>
              </w:rPr>
            </w:pPr>
            <w:r>
              <w:rPr>
                <w:rFonts w:cs="Times New Roman" w:eastAsiaTheme="majorEastAsia"/>
                <w:kern w:val="0"/>
                <w:szCs w:val="21"/>
                <w:lang w:bidi="ar"/>
              </w:rPr>
              <w:t>游客服务中心、民俗文化广场、观景台及游步道、旅游厕所及其它旅游基础设施等</w:t>
            </w:r>
          </w:p>
        </w:tc>
        <w:tc>
          <w:tcPr>
            <w:tcW w:w="431" w:type="pct"/>
            <w:vAlign w:val="center"/>
          </w:tcPr>
          <w:p w14:paraId="1111286F">
            <w:pPr>
              <w:jc w:val="center"/>
              <w:textAlignment w:val="center"/>
              <w:rPr>
                <w:rFonts w:cs="Times New Roman" w:eastAsiaTheme="majorEastAsia"/>
                <w:kern w:val="0"/>
                <w:szCs w:val="21"/>
              </w:rPr>
            </w:pPr>
            <w:r>
              <w:rPr>
                <w:rFonts w:cs="Times New Roman" w:eastAsiaTheme="majorEastAsia"/>
                <w:kern w:val="0"/>
                <w:szCs w:val="21"/>
              </w:rPr>
              <w:t>2022~</w:t>
            </w:r>
            <w:r>
              <w:rPr>
                <w:rFonts w:cs="Times New Roman" w:eastAsiaTheme="majorEastAsia"/>
                <w:kern w:val="0"/>
                <w:szCs w:val="21"/>
                <w:lang w:bidi="ar"/>
              </w:rPr>
              <w:t>2023</w:t>
            </w:r>
          </w:p>
        </w:tc>
        <w:tc>
          <w:tcPr>
            <w:tcW w:w="502" w:type="pct"/>
            <w:vAlign w:val="center"/>
          </w:tcPr>
          <w:p w14:paraId="5A48E97D">
            <w:pPr>
              <w:jc w:val="center"/>
              <w:textAlignment w:val="center"/>
              <w:rPr>
                <w:rFonts w:cs="Times New Roman" w:eastAsiaTheme="majorEastAsia"/>
                <w:kern w:val="0"/>
                <w:szCs w:val="21"/>
                <w:lang w:bidi="ar"/>
              </w:rPr>
            </w:pPr>
            <w:r>
              <w:rPr>
                <w:rFonts w:cs="Times New Roman" w:eastAsiaTheme="majorEastAsia"/>
                <w:kern w:val="0"/>
                <w:szCs w:val="21"/>
                <w:lang w:bidi="ar"/>
              </w:rPr>
              <w:t>硕督镇</w:t>
            </w:r>
          </w:p>
        </w:tc>
        <w:tc>
          <w:tcPr>
            <w:tcW w:w="381" w:type="pct"/>
            <w:noWrap/>
            <w:vAlign w:val="center"/>
          </w:tcPr>
          <w:p w14:paraId="3A323EF8">
            <w:pPr>
              <w:jc w:val="center"/>
              <w:textAlignment w:val="center"/>
              <w:rPr>
                <w:rFonts w:cs="Times New Roman" w:eastAsiaTheme="majorEastAsia"/>
                <w:kern w:val="0"/>
                <w:szCs w:val="21"/>
                <w:lang w:bidi="ar"/>
              </w:rPr>
            </w:pPr>
            <w:r>
              <w:rPr>
                <w:rFonts w:cs="Times New Roman" w:eastAsiaTheme="majorEastAsia"/>
                <w:kern w:val="0"/>
                <w:szCs w:val="21"/>
                <w:lang w:bidi="ar"/>
              </w:rPr>
              <w:t>1900</w:t>
            </w:r>
          </w:p>
        </w:tc>
        <w:tc>
          <w:tcPr>
            <w:tcW w:w="366" w:type="pct"/>
            <w:vAlign w:val="center"/>
          </w:tcPr>
          <w:p w14:paraId="34A692C6">
            <w:pPr>
              <w:textAlignment w:val="center"/>
              <w:rPr>
                <w:rFonts w:cs="Times New Roman" w:eastAsiaTheme="majorEastAsia"/>
                <w:kern w:val="0"/>
                <w:szCs w:val="21"/>
                <w:lang w:bidi="ar"/>
              </w:rPr>
            </w:pPr>
            <w:r>
              <w:rPr>
                <w:rFonts w:cs="Times New Roman" w:eastAsiaTheme="majorEastAsia"/>
                <w:kern w:val="0"/>
                <w:szCs w:val="21"/>
                <w:lang w:bidi="ar"/>
              </w:rPr>
              <w:t>县旅游发展局</w:t>
            </w:r>
          </w:p>
        </w:tc>
      </w:tr>
      <w:tr w14:paraId="13CBB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259" w:type="pct"/>
            <w:shd w:val="clear" w:color="auto" w:fill="auto"/>
            <w:vAlign w:val="center"/>
          </w:tcPr>
          <w:p w14:paraId="09321BA1">
            <w:pPr>
              <w:jc w:val="center"/>
              <w:textAlignment w:val="center"/>
              <w:rPr>
                <w:rFonts w:ascii="宋体" w:hAnsi="宋体" w:eastAsia="宋体"/>
                <w:color w:val="000000"/>
                <w:kern w:val="0"/>
                <w:sz w:val="22"/>
                <w:lang w:bidi="ar"/>
              </w:rPr>
            </w:pPr>
            <w:r>
              <w:rPr>
                <w:rFonts w:hint="eastAsia" w:ascii="宋体" w:hAnsi="宋体" w:eastAsia="宋体"/>
                <w:color w:val="000000"/>
                <w:kern w:val="0"/>
                <w:sz w:val="22"/>
                <w:lang w:bidi="ar"/>
              </w:rPr>
              <w:t>30</w:t>
            </w:r>
          </w:p>
        </w:tc>
        <w:tc>
          <w:tcPr>
            <w:tcW w:w="697" w:type="pct"/>
            <w:shd w:val="clear" w:color="000000" w:fill="FFFFFF"/>
            <w:vAlign w:val="center"/>
          </w:tcPr>
          <w:p w14:paraId="625A9D45">
            <w:pPr>
              <w:jc w:val="center"/>
              <w:textAlignment w:val="center"/>
              <w:rPr>
                <w:rFonts w:cs="Times New Roman" w:eastAsiaTheme="majorEastAsia"/>
                <w:kern w:val="0"/>
                <w:szCs w:val="21"/>
                <w:lang w:bidi="ar"/>
              </w:rPr>
            </w:pPr>
            <w:r>
              <w:rPr>
                <w:rFonts w:cs="Times New Roman" w:eastAsiaTheme="majorEastAsia"/>
                <w:kern w:val="0"/>
                <w:szCs w:val="21"/>
                <w:lang w:bidi="ar"/>
              </w:rPr>
              <w:t>G349沿线旅游服务设施建设</w:t>
            </w:r>
          </w:p>
        </w:tc>
        <w:tc>
          <w:tcPr>
            <w:tcW w:w="228" w:type="pct"/>
            <w:shd w:val="clear" w:color="000000" w:fill="FFFFFF"/>
          </w:tcPr>
          <w:p w14:paraId="4950393B">
            <w:pPr>
              <w:jc w:val="center"/>
              <w:rPr>
                <w:rFonts w:cs="Times New Roman" w:eastAsiaTheme="majorEastAsia"/>
                <w:kern w:val="0"/>
                <w:szCs w:val="21"/>
              </w:rPr>
            </w:pPr>
            <w:r>
              <w:rPr>
                <w:rFonts w:cs="Times New Roman" w:eastAsiaTheme="majorEastAsia"/>
                <w:kern w:val="0"/>
                <w:szCs w:val="21"/>
              </w:rPr>
              <w:t>续建</w:t>
            </w:r>
          </w:p>
        </w:tc>
        <w:tc>
          <w:tcPr>
            <w:tcW w:w="2132" w:type="pct"/>
            <w:shd w:val="clear" w:color="000000" w:fill="FFFFFF"/>
            <w:vAlign w:val="center"/>
          </w:tcPr>
          <w:p w14:paraId="25B06C1E">
            <w:pPr>
              <w:jc w:val="center"/>
              <w:textAlignment w:val="center"/>
              <w:rPr>
                <w:rFonts w:cs="Times New Roman" w:eastAsiaTheme="majorEastAsia"/>
                <w:kern w:val="0"/>
                <w:szCs w:val="21"/>
                <w:lang w:bidi="ar"/>
              </w:rPr>
            </w:pPr>
            <w:r>
              <w:rPr>
                <w:rFonts w:cs="Times New Roman" w:eastAsiaTheme="majorEastAsia"/>
                <w:kern w:val="0"/>
                <w:szCs w:val="21"/>
                <w:lang w:bidi="ar"/>
              </w:rPr>
              <w:t>新建3座观景台、游步道、旅游厕所3座、标识标牌等基础设施</w:t>
            </w:r>
          </w:p>
        </w:tc>
        <w:tc>
          <w:tcPr>
            <w:tcW w:w="431" w:type="pct"/>
            <w:vAlign w:val="center"/>
          </w:tcPr>
          <w:p w14:paraId="7C309303">
            <w:pPr>
              <w:jc w:val="center"/>
              <w:textAlignment w:val="center"/>
              <w:rPr>
                <w:rFonts w:cs="Times New Roman" w:eastAsiaTheme="majorEastAsia"/>
                <w:kern w:val="0"/>
                <w:szCs w:val="21"/>
              </w:rPr>
            </w:pPr>
            <w:r>
              <w:rPr>
                <w:rFonts w:cs="Times New Roman" w:eastAsiaTheme="majorEastAsia"/>
                <w:kern w:val="0"/>
                <w:szCs w:val="21"/>
              </w:rPr>
              <w:t>2022~</w:t>
            </w:r>
            <w:r>
              <w:rPr>
                <w:rFonts w:cs="Times New Roman" w:eastAsiaTheme="majorEastAsia"/>
                <w:kern w:val="0"/>
                <w:szCs w:val="21"/>
                <w:lang w:bidi="ar"/>
              </w:rPr>
              <w:t>2023</w:t>
            </w:r>
          </w:p>
        </w:tc>
        <w:tc>
          <w:tcPr>
            <w:tcW w:w="502" w:type="pct"/>
            <w:vAlign w:val="center"/>
          </w:tcPr>
          <w:p w14:paraId="6E84CB4E">
            <w:pPr>
              <w:jc w:val="center"/>
              <w:textAlignment w:val="center"/>
              <w:rPr>
                <w:rFonts w:cs="Times New Roman" w:eastAsiaTheme="majorEastAsia"/>
                <w:kern w:val="0"/>
                <w:szCs w:val="21"/>
                <w:lang w:bidi="ar"/>
              </w:rPr>
            </w:pPr>
            <w:r>
              <w:rPr>
                <w:rFonts w:cs="Times New Roman" w:eastAsiaTheme="majorEastAsia"/>
                <w:kern w:val="0"/>
                <w:szCs w:val="21"/>
                <w:lang w:bidi="ar"/>
              </w:rPr>
              <w:t>349沿线</w:t>
            </w:r>
          </w:p>
        </w:tc>
        <w:tc>
          <w:tcPr>
            <w:tcW w:w="381" w:type="pct"/>
            <w:noWrap/>
            <w:vAlign w:val="center"/>
          </w:tcPr>
          <w:p w14:paraId="77785ADB">
            <w:pPr>
              <w:jc w:val="center"/>
              <w:textAlignment w:val="center"/>
              <w:rPr>
                <w:rFonts w:cs="Times New Roman" w:eastAsiaTheme="majorEastAsia"/>
                <w:kern w:val="0"/>
                <w:szCs w:val="21"/>
                <w:lang w:bidi="ar"/>
              </w:rPr>
            </w:pPr>
            <w:r>
              <w:rPr>
                <w:rFonts w:cs="Times New Roman" w:eastAsiaTheme="majorEastAsia"/>
                <w:kern w:val="0"/>
                <w:szCs w:val="21"/>
                <w:lang w:bidi="ar"/>
              </w:rPr>
              <w:t>1000</w:t>
            </w:r>
          </w:p>
        </w:tc>
        <w:tc>
          <w:tcPr>
            <w:tcW w:w="366" w:type="pct"/>
            <w:vAlign w:val="center"/>
          </w:tcPr>
          <w:p w14:paraId="5F427692">
            <w:pPr>
              <w:jc w:val="center"/>
              <w:textAlignment w:val="center"/>
              <w:rPr>
                <w:rFonts w:cs="Times New Roman" w:eastAsiaTheme="majorEastAsia"/>
                <w:kern w:val="0"/>
                <w:szCs w:val="21"/>
                <w:lang w:bidi="ar"/>
              </w:rPr>
            </w:pPr>
            <w:r>
              <w:rPr>
                <w:rFonts w:cs="Times New Roman" w:eastAsiaTheme="majorEastAsia"/>
                <w:kern w:val="0"/>
                <w:szCs w:val="21"/>
                <w:lang w:bidi="ar"/>
              </w:rPr>
              <w:t>县旅游发展局</w:t>
            </w:r>
          </w:p>
        </w:tc>
      </w:tr>
      <w:tr w14:paraId="63540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259" w:type="pct"/>
            <w:shd w:val="clear" w:color="auto" w:fill="auto"/>
            <w:vAlign w:val="center"/>
          </w:tcPr>
          <w:p w14:paraId="096C0B19">
            <w:pPr>
              <w:jc w:val="center"/>
              <w:textAlignment w:val="center"/>
              <w:rPr>
                <w:rFonts w:ascii="宋体" w:hAnsi="宋体" w:eastAsia="宋体"/>
                <w:color w:val="000000"/>
                <w:kern w:val="0"/>
                <w:sz w:val="22"/>
                <w:lang w:bidi="ar"/>
              </w:rPr>
            </w:pPr>
            <w:r>
              <w:rPr>
                <w:rFonts w:hint="eastAsia" w:ascii="宋体" w:hAnsi="宋体" w:eastAsia="宋体"/>
                <w:color w:val="000000"/>
                <w:kern w:val="0"/>
                <w:sz w:val="22"/>
                <w:lang w:bidi="ar"/>
              </w:rPr>
              <w:t>31</w:t>
            </w:r>
          </w:p>
        </w:tc>
        <w:tc>
          <w:tcPr>
            <w:tcW w:w="697" w:type="pct"/>
            <w:shd w:val="clear" w:color="000000" w:fill="FFFFFF"/>
            <w:vAlign w:val="center"/>
          </w:tcPr>
          <w:p w14:paraId="10F26C9E">
            <w:pPr>
              <w:jc w:val="center"/>
              <w:textAlignment w:val="center"/>
              <w:rPr>
                <w:rFonts w:cs="Times New Roman" w:eastAsiaTheme="majorEastAsia"/>
                <w:kern w:val="0"/>
                <w:szCs w:val="21"/>
                <w:lang w:bidi="ar"/>
              </w:rPr>
            </w:pPr>
            <w:r>
              <w:rPr>
                <w:rFonts w:cs="Times New Roman" w:eastAsiaTheme="majorEastAsia"/>
                <w:kern w:val="0"/>
                <w:szCs w:val="21"/>
                <w:lang w:bidi="ar"/>
              </w:rPr>
              <w:t>洛隆县夏果村乡村旅游基础设施建设</w:t>
            </w:r>
          </w:p>
        </w:tc>
        <w:tc>
          <w:tcPr>
            <w:tcW w:w="228" w:type="pct"/>
            <w:shd w:val="clear" w:color="000000" w:fill="FFFFFF"/>
          </w:tcPr>
          <w:p w14:paraId="3F3D9528">
            <w:pPr>
              <w:jc w:val="center"/>
              <w:rPr>
                <w:rFonts w:cs="Times New Roman" w:eastAsiaTheme="majorEastAsia"/>
                <w:kern w:val="0"/>
                <w:szCs w:val="21"/>
              </w:rPr>
            </w:pPr>
            <w:r>
              <w:rPr>
                <w:rFonts w:cs="Times New Roman" w:eastAsiaTheme="majorEastAsia"/>
                <w:kern w:val="0"/>
                <w:szCs w:val="21"/>
              </w:rPr>
              <w:t>续建</w:t>
            </w:r>
          </w:p>
        </w:tc>
        <w:tc>
          <w:tcPr>
            <w:tcW w:w="2132" w:type="pct"/>
            <w:shd w:val="clear" w:color="000000" w:fill="FFFFFF"/>
            <w:vAlign w:val="center"/>
          </w:tcPr>
          <w:p w14:paraId="388FFC5E">
            <w:pPr>
              <w:jc w:val="center"/>
              <w:textAlignment w:val="center"/>
              <w:rPr>
                <w:rFonts w:cs="Times New Roman" w:eastAsiaTheme="majorEastAsia"/>
                <w:kern w:val="0"/>
                <w:szCs w:val="21"/>
                <w:lang w:bidi="ar"/>
              </w:rPr>
            </w:pPr>
            <w:r>
              <w:rPr>
                <w:rFonts w:cs="Times New Roman" w:eastAsiaTheme="majorEastAsia"/>
                <w:kern w:val="0"/>
                <w:szCs w:val="21"/>
                <w:lang w:bidi="ar"/>
              </w:rPr>
              <w:t>游客服务中心、停车场、厕所等基础设施</w:t>
            </w:r>
          </w:p>
        </w:tc>
        <w:tc>
          <w:tcPr>
            <w:tcW w:w="431" w:type="pct"/>
            <w:vAlign w:val="center"/>
          </w:tcPr>
          <w:p w14:paraId="06D17E04">
            <w:pPr>
              <w:jc w:val="center"/>
              <w:textAlignment w:val="center"/>
              <w:rPr>
                <w:rFonts w:cs="Times New Roman" w:eastAsiaTheme="majorEastAsia"/>
                <w:kern w:val="0"/>
                <w:szCs w:val="21"/>
              </w:rPr>
            </w:pPr>
            <w:r>
              <w:rPr>
                <w:rFonts w:cs="Times New Roman" w:eastAsiaTheme="majorEastAsia"/>
                <w:kern w:val="0"/>
                <w:szCs w:val="21"/>
              </w:rPr>
              <w:t>2022~</w:t>
            </w:r>
            <w:r>
              <w:rPr>
                <w:rFonts w:cs="Times New Roman" w:eastAsiaTheme="majorEastAsia"/>
                <w:kern w:val="0"/>
                <w:szCs w:val="21"/>
                <w:lang w:bidi="ar"/>
              </w:rPr>
              <w:t>2024</w:t>
            </w:r>
          </w:p>
        </w:tc>
        <w:tc>
          <w:tcPr>
            <w:tcW w:w="502" w:type="pct"/>
            <w:vAlign w:val="center"/>
          </w:tcPr>
          <w:p w14:paraId="2DDC0717">
            <w:pPr>
              <w:jc w:val="center"/>
              <w:textAlignment w:val="center"/>
              <w:rPr>
                <w:rFonts w:cs="Times New Roman" w:eastAsiaTheme="majorEastAsia"/>
                <w:kern w:val="0"/>
                <w:szCs w:val="21"/>
                <w:lang w:bidi="ar"/>
              </w:rPr>
            </w:pPr>
            <w:r>
              <w:rPr>
                <w:rFonts w:cs="Times New Roman" w:eastAsiaTheme="majorEastAsia"/>
                <w:kern w:val="0"/>
                <w:szCs w:val="21"/>
                <w:lang w:bidi="ar"/>
              </w:rPr>
              <w:t>孜托镇夏果村</w:t>
            </w:r>
          </w:p>
        </w:tc>
        <w:tc>
          <w:tcPr>
            <w:tcW w:w="381" w:type="pct"/>
            <w:noWrap/>
            <w:vAlign w:val="center"/>
          </w:tcPr>
          <w:p w14:paraId="6D08DA90">
            <w:pPr>
              <w:jc w:val="center"/>
              <w:textAlignment w:val="center"/>
              <w:rPr>
                <w:rFonts w:cs="Times New Roman" w:eastAsiaTheme="majorEastAsia"/>
                <w:kern w:val="0"/>
                <w:szCs w:val="21"/>
                <w:lang w:bidi="ar"/>
              </w:rPr>
            </w:pPr>
            <w:r>
              <w:rPr>
                <w:rFonts w:cs="Times New Roman" w:eastAsiaTheme="majorEastAsia"/>
                <w:kern w:val="0"/>
                <w:szCs w:val="21"/>
                <w:lang w:bidi="ar"/>
              </w:rPr>
              <w:t>1000</w:t>
            </w:r>
          </w:p>
        </w:tc>
        <w:tc>
          <w:tcPr>
            <w:tcW w:w="366" w:type="pct"/>
            <w:vAlign w:val="center"/>
          </w:tcPr>
          <w:p w14:paraId="07B5C505">
            <w:pPr>
              <w:jc w:val="center"/>
              <w:textAlignment w:val="center"/>
              <w:rPr>
                <w:rFonts w:cs="Times New Roman" w:eastAsiaTheme="majorEastAsia"/>
                <w:kern w:val="0"/>
                <w:szCs w:val="21"/>
                <w:lang w:bidi="ar"/>
              </w:rPr>
            </w:pPr>
            <w:r>
              <w:rPr>
                <w:rFonts w:cs="Times New Roman" w:eastAsiaTheme="majorEastAsia"/>
                <w:kern w:val="0"/>
                <w:szCs w:val="21"/>
                <w:lang w:bidi="ar"/>
              </w:rPr>
              <w:t>县旅游发展局</w:t>
            </w:r>
          </w:p>
        </w:tc>
      </w:tr>
      <w:tr w14:paraId="667AB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259" w:type="pct"/>
            <w:shd w:val="clear" w:color="auto" w:fill="auto"/>
            <w:vAlign w:val="center"/>
          </w:tcPr>
          <w:p w14:paraId="2A1B7893">
            <w:pPr>
              <w:jc w:val="center"/>
              <w:textAlignment w:val="center"/>
              <w:rPr>
                <w:rFonts w:ascii="宋体" w:hAnsi="宋体" w:eastAsia="宋体"/>
                <w:color w:val="000000"/>
                <w:kern w:val="0"/>
                <w:sz w:val="22"/>
                <w:lang w:bidi="ar"/>
              </w:rPr>
            </w:pPr>
            <w:r>
              <w:rPr>
                <w:rFonts w:hint="eastAsia" w:ascii="宋体" w:hAnsi="宋体" w:eastAsia="宋体"/>
                <w:color w:val="000000"/>
                <w:kern w:val="0"/>
                <w:sz w:val="22"/>
                <w:lang w:bidi="ar"/>
              </w:rPr>
              <w:t>32</w:t>
            </w:r>
          </w:p>
        </w:tc>
        <w:tc>
          <w:tcPr>
            <w:tcW w:w="697" w:type="pct"/>
            <w:shd w:val="clear" w:color="000000" w:fill="FFFFFF"/>
            <w:vAlign w:val="center"/>
          </w:tcPr>
          <w:p w14:paraId="7AED6203">
            <w:pPr>
              <w:jc w:val="center"/>
              <w:textAlignment w:val="center"/>
              <w:rPr>
                <w:rFonts w:cs="Times New Roman" w:eastAsiaTheme="majorEastAsia"/>
                <w:kern w:val="0"/>
                <w:szCs w:val="21"/>
                <w:lang w:bidi="ar"/>
              </w:rPr>
            </w:pPr>
            <w:r>
              <w:rPr>
                <w:rFonts w:cs="Times New Roman" w:eastAsiaTheme="majorEastAsia"/>
                <w:kern w:val="0"/>
                <w:szCs w:val="21"/>
                <w:lang w:bidi="ar"/>
              </w:rPr>
              <w:t>八美村旅游开发建设建设项目</w:t>
            </w:r>
          </w:p>
        </w:tc>
        <w:tc>
          <w:tcPr>
            <w:tcW w:w="228" w:type="pct"/>
            <w:shd w:val="clear" w:color="000000" w:fill="FFFFFF"/>
          </w:tcPr>
          <w:p w14:paraId="7FD5F948">
            <w:pPr>
              <w:jc w:val="center"/>
              <w:rPr>
                <w:rFonts w:cs="Times New Roman" w:eastAsiaTheme="majorEastAsia"/>
                <w:kern w:val="0"/>
                <w:szCs w:val="21"/>
              </w:rPr>
            </w:pPr>
            <w:r>
              <w:rPr>
                <w:rFonts w:cs="Times New Roman" w:eastAsiaTheme="majorEastAsia"/>
                <w:kern w:val="0"/>
                <w:szCs w:val="21"/>
              </w:rPr>
              <w:t>续建</w:t>
            </w:r>
          </w:p>
        </w:tc>
        <w:tc>
          <w:tcPr>
            <w:tcW w:w="2132" w:type="pct"/>
            <w:shd w:val="clear" w:color="000000" w:fill="FFFFFF"/>
            <w:vAlign w:val="center"/>
          </w:tcPr>
          <w:p w14:paraId="4EC94A73">
            <w:pPr>
              <w:jc w:val="center"/>
              <w:textAlignment w:val="center"/>
              <w:rPr>
                <w:rFonts w:cs="Times New Roman" w:eastAsiaTheme="majorEastAsia"/>
                <w:kern w:val="0"/>
                <w:szCs w:val="21"/>
                <w:lang w:bidi="ar"/>
              </w:rPr>
            </w:pPr>
            <w:r>
              <w:rPr>
                <w:rFonts w:cs="Times New Roman" w:eastAsiaTheme="majorEastAsia"/>
                <w:kern w:val="0"/>
                <w:szCs w:val="21"/>
                <w:lang w:bidi="ar"/>
              </w:rPr>
              <w:t>旅客集散中心、景观亮化工程、周边环境整治停车场及其他附属设施</w:t>
            </w:r>
          </w:p>
        </w:tc>
        <w:tc>
          <w:tcPr>
            <w:tcW w:w="431" w:type="pct"/>
            <w:vAlign w:val="center"/>
          </w:tcPr>
          <w:p w14:paraId="1B39EB08">
            <w:pPr>
              <w:jc w:val="center"/>
              <w:textAlignment w:val="center"/>
              <w:rPr>
                <w:rFonts w:cs="Times New Roman" w:eastAsiaTheme="majorEastAsia"/>
                <w:kern w:val="0"/>
                <w:szCs w:val="21"/>
              </w:rPr>
            </w:pPr>
            <w:r>
              <w:rPr>
                <w:rFonts w:cs="Times New Roman" w:eastAsiaTheme="majorEastAsia"/>
                <w:kern w:val="0"/>
                <w:szCs w:val="21"/>
              </w:rPr>
              <w:t>2022~</w:t>
            </w:r>
            <w:r>
              <w:rPr>
                <w:rFonts w:cs="Times New Roman" w:eastAsiaTheme="majorEastAsia"/>
                <w:kern w:val="0"/>
                <w:szCs w:val="21"/>
                <w:lang w:bidi="ar"/>
              </w:rPr>
              <w:t>2025</w:t>
            </w:r>
          </w:p>
        </w:tc>
        <w:tc>
          <w:tcPr>
            <w:tcW w:w="502" w:type="pct"/>
            <w:vAlign w:val="center"/>
          </w:tcPr>
          <w:p w14:paraId="17FA4FCD">
            <w:pPr>
              <w:jc w:val="center"/>
              <w:textAlignment w:val="center"/>
              <w:rPr>
                <w:rFonts w:cs="Times New Roman" w:eastAsiaTheme="majorEastAsia"/>
                <w:kern w:val="0"/>
                <w:szCs w:val="21"/>
                <w:lang w:bidi="ar"/>
              </w:rPr>
            </w:pPr>
            <w:r>
              <w:rPr>
                <w:rFonts w:cs="Times New Roman" w:eastAsiaTheme="majorEastAsia"/>
                <w:kern w:val="0"/>
                <w:szCs w:val="21"/>
                <w:lang w:bidi="ar"/>
              </w:rPr>
              <w:t>腊久乡巴美村</w:t>
            </w:r>
          </w:p>
        </w:tc>
        <w:tc>
          <w:tcPr>
            <w:tcW w:w="381" w:type="pct"/>
            <w:noWrap/>
            <w:vAlign w:val="center"/>
          </w:tcPr>
          <w:p w14:paraId="78D4204B">
            <w:pPr>
              <w:jc w:val="center"/>
              <w:textAlignment w:val="center"/>
              <w:rPr>
                <w:rFonts w:cs="Times New Roman" w:eastAsiaTheme="majorEastAsia"/>
                <w:kern w:val="0"/>
                <w:szCs w:val="21"/>
                <w:lang w:bidi="ar"/>
              </w:rPr>
            </w:pPr>
            <w:r>
              <w:rPr>
                <w:rFonts w:cs="Times New Roman" w:eastAsiaTheme="majorEastAsia"/>
                <w:kern w:val="0"/>
                <w:szCs w:val="21"/>
                <w:lang w:bidi="ar"/>
              </w:rPr>
              <w:t>3500</w:t>
            </w:r>
          </w:p>
        </w:tc>
        <w:tc>
          <w:tcPr>
            <w:tcW w:w="366" w:type="pct"/>
            <w:vAlign w:val="center"/>
          </w:tcPr>
          <w:p w14:paraId="7CE7DF9E">
            <w:pPr>
              <w:jc w:val="center"/>
              <w:textAlignment w:val="center"/>
              <w:rPr>
                <w:rFonts w:cs="Times New Roman" w:eastAsiaTheme="majorEastAsia"/>
                <w:kern w:val="0"/>
                <w:szCs w:val="21"/>
                <w:lang w:bidi="ar"/>
              </w:rPr>
            </w:pPr>
            <w:r>
              <w:rPr>
                <w:rFonts w:cs="Times New Roman" w:eastAsiaTheme="majorEastAsia"/>
                <w:kern w:val="0"/>
                <w:szCs w:val="21"/>
                <w:lang w:bidi="ar"/>
              </w:rPr>
              <w:t>县旅游发展局</w:t>
            </w:r>
          </w:p>
        </w:tc>
      </w:tr>
      <w:tr w14:paraId="13F8A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jc w:val="center"/>
        </w:trPr>
        <w:tc>
          <w:tcPr>
            <w:tcW w:w="3318" w:type="pct"/>
            <w:gridSpan w:val="4"/>
            <w:shd w:val="clear" w:color="auto" w:fill="auto"/>
            <w:vAlign w:val="center"/>
          </w:tcPr>
          <w:p w14:paraId="0C265213">
            <w:pPr>
              <w:jc w:val="center"/>
              <w:textAlignment w:val="center"/>
              <w:rPr>
                <w:rFonts w:cs="Times New Roman" w:eastAsiaTheme="majorEastAsia"/>
                <w:kern w:val="0"/>
                <w:szCs w:val="21"/>
                <w:lang w:bidi="ar"/>
              </w:rPr>
            </w:pPr>
            <w:r>
              <w:rPr>
                <w:rFonts w:cs="Times New Roman" w:eastAsiaTheme="majorEastAsia"/>
                <w:b/>
                <w:bCs/>
                <w:kern w:val="0"/>
                <w:szCs w:val="21"/>
              </w:rPr>
              <w:t>合计</w:t>
            </w:r>
          </w:p>
        </w:tc>
        <w:tc>
          <w:tcPr>
            <w:tcW w:w="431" w:type="pct"/>
            <w:vAlign w:val="center"/>
          </w:tcPr>
          <w:p w14:paraId="35275C99">
            <w:pPr>
              <w:jc w:val="center"/>
              <w:textAlignment w:val="center"/>
              <w:rPr>
                <w:rFonts w:cs="Times New Roman" w:eastAsiaTheme="majorEastAsia"/>
                <w:kern w:val="0"/>
                <w:szCs w:val="21"/>
              </w:rPr>
            </w:pPr>
          </w:p>
        </w:tc>
        <w:tc>
          <w:tcPr>
            <w:tcW w:w="502" w:type="pct"/>
            <w:vAlign w:val="center"/>
          </w:tcPr>
          <w:p w14:paraId="42182E2D">
            <w:pPr>
              <w:jc w:val="center"/>
              <w:textAlignment w:val="center"/>
              <w:rPr>
                <w:rFonts w:cs="Times New Roman" w:eastAsiaTheme="majorEastAsia"/>
                <w:kern w:val="0"/>
                <w:szCs w:val="21"/>
                <w:lang w:bidi="ar"/>
              </w:rPr>
            </w:pPr>
          </w:p>
        </w:tc>
        <w:tc>
          <w:tcPr>
            <w:tcW w:w="381" w:type="pct"/>
            <w:noWrap/>
            <w:vAlign w:val="center"/>
          </w:tcPr>
          <w:p w14:paraId="34B050F6">
            <w:pPr>
              <w:jc w:val="center"/>
              <w:textAlignment w:val="center"/>
              <w:rPr>
                <w:rFonts w:cs="Times New Roman" w:eastAsiaTheme="majorEastAsia"/>
                <w:kern w:val="0"/>
                <w:szCs w:val="21"/>
                <w:lang w:bidi="ar"/>
              </w:rPr>
            </w:pPr>
            <w:r>
              <w:rPr>
                <w:rFonts w:cs="Times New Roman" w:eastAsiaTheme="majorEastAsia"/>
                <w:kern w:val="0"/>
                <w:szCs w:val="21"/>
                <w:lang w:bidi="ar"/>
              </w:rPr>
              <w:t>178479</w:t>
            </w:r>
          </w:p>
        </w:tc>
        <w:tc>
          <w:tcPr>
            <w:tcW w:w="366" w:type="pct"/>
            <w:vAlign w:val="center"/>
          </w:tcPr>
          <w:p w14:paraId="6B1EB452">
            <w:pPr>
              <w:jc w:val="center"/>
              <w:textAlignment w:val="center"/>
              <w:rPr>
                <w:rFonts w:cs="Times New Roman" w:eastAsiaTheme="majorEastAsia"/>
                <w:kern w:val="0"/>
                <w:szCs w:val="21"/>
                <w:lang w:bidi="ar"/>
              </w:rPr>
            </w:pPr>
          </w:p>
        </w:tc>
      </w:tr>
    </w:tbl>
    <w:p w14:paraId="464BDA31">
      <w:pPr>
        <w:ind w:firstLine="723"/>
        <w:rPr>
          <w:rFonts w:eastAsia="宋体" w:cs="Times New Roman"/>
          <w:b/>
          <w:kern w:val="0"/>
          <w:sz w:val="36"/>
          <w:szCs w:val="36"/>
        </w:rPr>
      </w:pPr>
      <w:r>
        <w:rPr>
          <w:rFonts w:eastAsia="宋体" w:cs="Times New Roman"/>
          <w:b/>
          <w:kern w:val="0"/>
          <w:sz w:val="36"/>
          <w:szCs w:val="36"/>
        </w:rPr>
        <w:br w:type="page"/>
      </w:r>
    </w:p>
    <w:p w14:paraId="66FE5447">
      <w:pPr>
        <w:spacing w:before="240" w:beforeLines="100" w:line="579" w:lineRule="auto"/>
        <w:jc w:val="left"/>
        <w:outlineLvl w:val="0"/>
        <w:rPr>
          <w:rFonts w:eastAsia="黑体" w:cs="Times New Roman"/>
          <w:b/>
          <w:bCs/>
          <w:kern w:val="44"/>
          <w:sz w:val="32"/>
          <w:szCs w:val="40"/>
        </w:rPr>
      </w:pPr>
      <w:bookmarkStart w:id="305" w:name="_Toc4352"/>
      <w:bookmarkStart w:id="306" w:name="_Toc105576387"/>
      <w:r>
        <w:rPr>
          <w:rFonts w:eastAsia="黑体" w:cs="Times New Roman"/>
          <w:b/>
          <w:bCs/>
          <w:kern w:val="44"/>
          <w:sz w:val="32"/>
          <w:szCs w:val="40"/>
        </w:rPr>
        <w:t>附表四</w:t>
      </w:r>
      <w:r>
        <w:rPr>
          <w:rFonts w:hint="eastAsia" w:eastAsia="黑体" w:cs="Times New Roman"/>
          <w:b/>
          <w:bCs/>
          <w:kern w:val="44"/>
          <w:sz w:val="32"/>
          <w:szCs w:val="40"/>
        </w:rPr>
        <w:t xml:space="preserve">  </w:t>
      </w:r>
      <w:r>
        <w:rPr>
          <w:rFonts w:eastAsia="黑体" w:cs="Times New Roman"/>
          <w:b/>
          <w:bCs/>
          <w:kern w:val="44"/>
          <w:sz w:val="32"/>
          <w:szCs w:val="40"/>
        </w:rPr>
        <w:t>生态生活体系重点工程</w:t>
      </w:r>
      <w:bookmarkEnd w:id="305"/>
      <w:bookmarkEnd w:id="306"/>
    </w:p>
    <w:tbl>
      <w:tblPr>
        <w:tblStyle w:val="42"/>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2191"/>
        <w:gridCol w:w="1035"/>
        <w:gridCol w:w="5724"/>
        <w:gridCol w:w="1354"/>
        <w:gridCol w:w="1499"/>
        <w:gridCol w:w="1082"/>
        <w:gridCol w:w="1220"/>
      </w:tblGrid>
      <w:tr w14:paraId="2004C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226" w:type="pct"/>
            <w:shd w:val="clear" w:color="000000" w:fill="FFFFFF"/>
            <w:vAlign w:val="center"/>
          </w:tcPr>
          <w:p w14:paraId="45F416C3">
            <w:pPr>
              <w:snapToGrid w:val="0"/>
              <w:rPr>
                <w:rFonts w:ascii="宋体" w:hAnsi="宋体" w:eastAsia="宋体"/>
                <w:b/>
                <w:bCs/>
                <w:kern w:val="0"/>
                <w:szCs w:val="21"/>
              </w:rPr>
            </w:pPr>
            <w:r>
              <w:rPr>
                <w:rFonts w:hint="eastAsia" w:ascii="宋体" w:hAnsi="宋体" w:eastAsia="宋体"/>
                <w:b/>
                <w:bCs/>
                <w:kern w:val="0"/>
                <w:szCs w:val="21"/>
              </w:rPr>
              <w:t>序号</w:t>
            </w:r>
          </w:p>
        </w:tc>
        <w:tc>
          <w:tcPr>
            <w:tcW w:w="741" w:type="pct"/>
            <w:shd w:val="clear" w:color="000000" w:fill="FFFFFF"/>
            <w:vAlign w:val="center"/>
          </w:tcPr>
          <w:p w14:paraId="401A110E">
            <w:pPr>
              <w:snapToGrid w:val="0"/>
              <w:jc w:val="center"/>
              <w:rPr>
                <w:rFonts w:ascii="宋体" w:hAnsi="宋体" w:eastAsia="宋体"/>
                <w:b/>
                <w:bCs/>
                <w:kern w:val="0"/>
                <w:szCs w:val="21"/>
              </w:rPr>
            </w:pPr>
            <w:r>
              <w:rPr>
                <w:rFonts w:hint="eastAsia" w:ascii="宋体" w:hAnsi="宋体" w:eastAsia="宋体"/>
                <w:b/>
                <w:bCs/>
                <w:kern w:val="0"/>
                <w:szCs w:val="21"/>
              </w:rPr>
              <w:t>项目名称</w:t>
            </w:r>
          </w:p>
        </w:tc>
        <w:tc>
          <w:tcPr>
            <w:tcW w:w="350" w:type="pct"/>
            <w:shd w:val="clear" w:color="000000" w:fill="FFFFFF"/>
            <w:vAlign w:val="center"/>
          </w:tcPr>
          <w:p w14:paraId="430D143C">
            <w:pPr>
              <w:snapToGrid w:val="0"/>
              <w:jc w:val="center"/>
              <w:rPr>
                <w:rFonts w:ascii="宋体" w:hAnsi="宋体" w:eastAsia="宋体"/>
                <w:b/>
                <w:bCs/>
                <w:kern w:val="0"/>
                <w:szCs w:val="21"/>
              </w:rPr>
            </w:pPr>
            <w:r>
              <w:rPr>
                <w:rFonts w:hint="eastAsia" w:ascii="宋体" w:hAnsi="宋体" w:eastAsia="宋体"/>
                <w:b/>
                <w:bCs/>
                <w:kern w:val="0"/>
                <w:szCs w:val="21"/>
              </w:rPr>
              <w:t>建设</w:t>
            </w:r>
          </w:p>
          <w:p w14:paraId="67CE2CF1">
            <w:pPr>
              <w:snapToGrid w:val="0"/>
              <w:jc w:val="center"/>
              <w:rPr>
                <w:rFonts w:ascii="宋体" w:hAnsi="宋体" w:eastAsia="宋体"/>
                <w:b/>
                <w:bCs/>
                <w:kern w:val="0"/>
                <w:szCs w:val="21"/>
              </w:rPr>
            </w:pPr>
            <w:r>
              <w:rPr>
                <w:rFonts w:hint="eastAsia" w:ascii="宋体" w:hAnsi="宋体" w:eastAsia="宋体"/>
                <w:b/>
                <w:bCs/>
                <w:kern w:val="0"/>
                <w:szCs w:val="21"/>
              </w:rPr>
              <w:t>性质</w:t>
            </w:r>
          </w:p>
        </w:tc>
        <w:tc>
          <w:tcPr>
            <w:tcW w:w="1935" w:type="pct"/>
            <w:shd w:val="clear" w:color="000000" w:fill="FFFFFF"/>
            <w:vAlign w:val="center"/>
          </w:tcPr>
          <w:p w14:paraId="6B9F1003">
            <w:pPr>
              <w:snapToGrid w:val="0"/>
              <w:jc w:val="center"/>
              <w:rPr>
                <w:rFonts w:ascii="宋体" w:hAnsi="宋体" w:eastAsia="宋体"/>
                <w:b/>
                <w:bCs/>
                <w:kern w:val="0"/>
                <w:szCs w:val="21"/>
              </w:rPr>
            </w:pPr>
            <w:r>
              <w:rPr>
                <w:rFonts w:hint="eastAsia" w:ascii="宋体" w:hAnsi="宋体" w:eastAsia="宋体"/>
                <w:b/>
                <w:bCs/>
                <w:kern w:val="0"/>
                <w:szCs w:val="21"/>
              </w:rPr>
              <w:t>建设内容和规模</w:t>
            </w:r>
          </w:p>
        </w:tc>
        <w:tc>
          <w:tcPr>
            <w:tcW w:w="458" w:type="pct"/>
            <w:shd w:val="clear" w:color="000000" w:fill="FFFFFF"/>
            <w:vAlign w:val="center"/>
          </w:tcPr>
          <w:p w14:paraId="50362399">
            <w:pPr>
              <w:snapToGrid w:val="0"/>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建设期限</w:t>
            </w:r>
          </w:p>
        </w:tc>
        <w:tc>
          <w:tcPr>
            <w:tcW w:w="507" w:type="pct"/>
            <w:shd w:val="clear" w:color="000000" w:fill="FFFFFF"/>
            <w:vAlign w:val="center"/>
          </w:tcPr>
          <w:p w14:paraId="48007C9F">
            <w:pPr>
              <w:snapToGrid w:val="0"/>
              <w:jc w:val="center"/>
              <w:rPr>
                <w:rFonts w:ascii="宋体" w:hAnsi="宋体" w:eastAsia="宋体"/>
                <w:b/>
                <w:bCs/>
                <w:kern w:val="0"/>
                <w:szCs w:val="21"/>
              </w:rPr>
            </w:pPr>
            <w:r>
              <w:rPr>
                <w:rFonts w:hint="eastAsia" w:ascii="宋体" w:hAnsi="宋体" w:eastAsia="宋体"/>
                <w:b/>
                <w:bCs/>
                <w:kern w:val="0"/>
                <w:szCs w:val="21"/>
              </w:rPr>
              <w:t>建设地点</w:t>
            </w:r>
          </w:p>
        </w:tc>
        <w:tc>
          <w:tcPr>
            <w:tcW w:w="366" w:type="pct"/>
            <w:shd w:val="clear" w:color="000000" w:fill="FFFFFF"/>
            <w:vAlign w:val="center"/>
          </w:tcPr>
          <w:p w14:paraId="55B9CA02">
            <w:pPr>
              <w:snapToGrid w:val="0"/>
              <w:jc w:val="center"/>
              <w:rPr>
                <w:rFonts w:ascii="宋体" w:hAnsi="宋体" w:eastAsia="宋体"/>
                <w:b/>
                <w:bCs/>
                <w:kern w:val="0"/>
                <w:szCs w:val="21"/>
              </w:rPr>
            </w:pPr>
            <w:r>
              <w:rPr>
                <w:rFonts w:hint="eastAsia" w:ascii="宋体" w:hAnsi="宋体" w:eastAsia="宋体"/>
                <w:b/>
                <w:bCs/>
                <w:kern w:val="0"/>
                <w:szCs w:val="21"/>
              </w:rPr>
              <w:t>总投资</w:t>
            </w:r>
          </w:p>
          <w:p w14:paraId="53879E4B">
            <w:pPr>
              <w:snapToGrid w:val="0"/>
              <w:jc w:val="center"/>
              <w:rPr>
                <w:rFonts w:ascii="宋体" w:hAnsi="宋体" w:eastAsia="宋体"/>
                <w:szCs w:val="21"/>
              </w:rPr>
            </w:pPr>
            <w:r>
              <w:rPr>
                <w:rFonts w:hint="eastAsia" w:ascii="宋体" w:hAnsi="宋体" w:eastAsia="宋体"/>
                <w:b/>
                <w:bCs/>
                <w:kern w:val="0"/>
                <w:szCs w:val="21"/>
              </w:rPr>
              <w:t>（万元）</w:t>
            </w:r>
          </w:p>
        </w:tc>
        <w:tc>
          <w:tcPr>
            <w:tcW w:w="413" w:type="pct"/>
            <w:shd w:val="clear" w:color="000000" w:fill="FFFFFF"/>
            <w:vAlign w:val="center"/>
          </w:tcPr>
          <w:p w14:paraId="14D08ED9">
            <w:pPr>
              <w:snapToGrid w:val="0"/>
              <w:jc w:val="center"/>
              <w:rPr>
                <w:rFonts w:ascii="宋体" w:hAnsi="宋体" w:eastAsia="宋体"/>
                <w:b/>
                <w:bCs/>
                <w:kern w:val="0"/>
                <w:szCs w:val="21"/>
              </w:rPr>
            </w:pPr>
            <w:r>
              <w:rPr>
                <w:rFonts w:hint="eastAsia" w:ascii="宋体" w:hAnsi="宋体" w:eastAsia="宋体"/>
                <w:b/>
                <w:bCs/>
                <w:kern w:val="0"/>
                <w:szCs w:val="21"/>
              </w:rPr>
              <w:t>责任单位</w:t>
            </w:r>
          </w:p>
        </w:tc>
      </w:tr>
      <w:tr w14:paraId="6E205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 w:type="pct"/>
            <w:shd w:val="clear" w:color="auto" w:fill="auto"/>
            <w:vAlign w:val="center"/>
          </w:tcPr>
          <w:p w14:paraId="727A093B">
            <w:pPr>
              <w:jc w:val="center"/>
              <w:textAlignment w:val="center"/>
              <w:rPr>
                <w:rFonts w:ascii="宋体" w:hAnsi="宋体" w:eastAsia="宋体"/>
                <w:color w:val="000000"/>
                <w:kern w:val="0"/>
                <w:sz w:val="22"/>
                <w:lang w:bidi="ar"/>
              </w:rPr>
            </w:pPr>
            <w:r>
              <w:rPr>
                <w:rFonts w:hint="eastAsia" w:ascii="宋体" w:hAnsi="宋体" w:eastAsia="宋体"/>
                <w:color w:val="000000"/>
                <w:kern w:val="0"/>
                <w:sz w:val="22"/>
                <w:lang w:bidi="ar"/>
              </w:rPr>
              <w:t>1</w:t>
            </w:r>
          </w:p>
        </w:tc>
        <w:tc>
          <w:tcPr>
            <w:tcW w:w="741" w:type="pct"/>
            <w:shd w:val="clear" w:color="000000" w:fill="FFFFFF"/>
            <w:vAlign w:val="center"/>
          </w:tcPr>
          <w:p w14:paraId="4EC11D16">
            <w:pPr>
              <w:jc w:val="center"/>
              <w:rPr>
                <w:rFonts w:ascii="宋体" w:hAnsi="宋体" w:eastAsia="宋体"/>
                <w:kern w:val="0"/>
                <w:szCs w:val="21"/>
              </w:rPr>
            </w:pPr>
            <w:r>
              <w:rPr>
                <w:rFonts w:hint="eastAsia" w:ascii="宋体" w:hAnsi="宋体" w:eastAsia="宋体"/>
                <w:kern w:val="0"/>
                <w:szCs w:val="21"/>
              </w:rPr>
              <w:t>玉西乡污水处理及收集系统工程</w:t>
            </w:r>
          </w:p>
        </w:tc>
        <w:tc>
          <w:tcPr>
            <w:tcW w:w="350" w:type="pct"/>
            <w:shd w:val="clear" w:color="000000" w:fill="FFFFFF"/>
            <w:vAlign w:val="center"/>
          </w:tcPr>
          <w:p w14:paraId="6185AA2F">
            <w:pPr>
              <w:jc w:val="center"/>
              <w:rPr>
                <w:rFonts w:ascii="宋体" w:hAnsi="宋体" w:eastAsia="宋体"/>
                <w:kern w:val="0"/>
                <w:szCs w:val="21"/>
              </w:rPr>
            </w:pPr>
            <w:r>
              <w:rPr>
                <w:rFonts w:hint="eastAsia" w:ascii="宋体" w:hAnsi="宋体" w:eastAsia="宋体"/>
                <w:kern w:val="0"/>
                <w:szCs w:val="21"/>
              </w:rPr>
              <w:t>新建</w:t>
            </w:r>
          </w:p>
        </w:tc>
        <w:tc>
          <w:tcPr>
            <w:tcW w:w="1935" w:type="pct"/>
            <w:shd w:val="clear" w:color="000000" w:fill="FFFFFF"/>
            <w:vAlign w:val="center"/>
          </w:tcPr>
          <w:p w14:paraId="5FDEBB11">
            <w:pPr>
              <w:jc w:val="center"/>
              <w:rPr>
                <w:rFonts w:ascii="宋体" w:hAnsi="宋体" w:eastAsia="宋体"/>
                <w:kern w:val="0"/>
                <w:szCs w:val="21"/>
              </w:rPr>
            </w:pPr>
            <w:r>
              <w:rPr>
                <w:rFonts w:hint="eastAsia" w:ascii="宋体" w:hAnsi="宋体" w:eastAsia="宋体"/>
                <w:kern w:val="0"/>
                <w:szCs w:val="21"/>
              </w:rPr>
              <w:t>污水处理厂1座，日处理500立方米，污水管5公里</w:t>
            </w:r>
          </w:p>
        </w:tc>
        <w:tc>
          <w:tcPr>
            <w:tcW w:w="458" w:type="pct"/>
            <w:vAlign w:val="center"/>
          </w:tcPr>
          <w:p w14:paraId="7EBB6DE3">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2026~2030</w:t>
            </w:r>
          </w:p>
        </w:tc>
        <w:tc>
          <w:tcPr>
            <w:tcW w:w="507" w:type="pct"/>
            <w:vAlign w:val="center"/>
          </w:tcPr>
          <w:p w14:paraId="7773A130">
            <w:pPr>
              <w:snapToGrid w:val="0"/>
              <w:jc w:val="center"/>
              <w:rPr>
                <w:rFonts w:ascii="宋体" w:hAnsi="宋体" w:eastAsia="宋体"/>
                <w:kern w:val="0"/>
                <w:szCs w:val="21"/>
              </w:rPr>
            </w:pPr>
            <w:r>
              <w:rPr>
                <w:rFonts w:hint="eastAsia" w:ascii="宋体" w:hAnsi="宋体" w:eastAsia="宋体"/>
                <w:kern w:val="0"/>
                <w:szCs w:val="21"/>
              </w:rPr>
              <w:t>玉西乡</w:t>
            </w:r>
          </w:p>
        </w:tc>
        <w:tc>
          <w:tcPr>
            <w:tcW w:w="366" w:type="pct"/>
            <w:noWrap/>
            <w:vAlign w:val="center"/>
          </w:tcPr>
          <w:p w14:paraId="29FB94DE">
            <w:pPr>
              <w:jc w:val="center"/>
              <w:rPr>
                <w:rFonts w:ascii="宋体" w:hAnsi="宋体" w:eastAsia="宋体"/>
                <w:kern w:val="0"/>
                <w:szCs w:val="21"/>
              </w:rPr>
            </w:pPr>
            <w:r>
              <w:rPr>
                <w:rFonts w:hint="eastAsia" w:ascii="宋体" w:hAnsi="宋体" w:eastAsia="宋体"/>
                <w:kern w:val="0"/>
                <w:szCs w:val="21"/>
              </w:rPr>
              <w:t>3000</w:t>
            </w:r>
          </w:p>
        </w:tc>
        <w:tc>
          <w:tcPr>
            <w:tcW w:w="413" w:type="pct"/>
            <w:vAlign w:val="center"/>
          </w:tcPr>
          <w:p w14:paraId="338AC7D0">
            <w:pPr>
              <w:jc w:val="center"/>
              <w:rPr>
                <w:rFonts w:ascii="宋体" w:hAnsi="宋体" w:eastAsia="宋体"/>
                <w:kern w:val="0"/>
                <w:szCs w:val="21"/>
              </w:rPr>
            </w:pPr>
            <w:r>
              <w:rPr>
                <w:rFonts w:hint="eastAsia" w:ascii="宋体" w:hAnsi="宋体" w:eastAsia="宋体"/>
                <w:kern w:val="0"/>
                <w:szCs w:val="21"/>
              </w:rPr>
              <w:t>县住建局</w:t>
            </w:r>
          </w:p>
        </w:tc>
      </w:tr>
      <w:tr w14:paraId="11ADC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 w:type="pct"/>
            <w:shd w:val="clear" w:color="auto" w:fill="auto"/>
            <w:vAlign w:val="center"/>
          </w:tcPr>
          <w:p w14:paraId="696E68F1">
            <w:pPr>
              <w:jc w:val="center"/>
              <w:textAlignment w:val="center"/>
              <w:rPr>
                <w:rFonts w:ascii="宋体" w:hAnsi="宋体" w:eastAsia="宋体"/>
                <w:color w:val="000000"/>
                <w:kern w:val="0"/>
                <w:sz w:val="22"/>
                <w:lang w:bidi="ar"/>
              </w:rPr>
            </w:pPr>
            <w:r>
              <w:rPr>
                <w:rFonts w:hint="eastAsia" w:ascii="宋体" w:hAnsi="宋体" w:eastAsia="宋体"/>
                <w:color w:val="000000"/>
                <w:kern w:val="0"/>
                <w:sz w:val="22"/>
                <w:lang w:bidi="ar"/>
              </w:rPr>
              <w:t>2</w:t>
            </w:r>
          </w:p>
        </w:tc>
        <w:tc>
          <w:tcPr>
            <w:tcW w:w="741" w:type="pct"/>
            <w:shd w:val="clear" w:color="000000" w:fill="FFFFFF"/>
            <w:vAlign w:val="center"/>
          </w:tcPr>
          <w:p w14:paraId="4BBCC7EE">
            <w:pPr>
              <w:jc w:val="center"/>
              <w:rPr>
                <w:rFonts w:ascii="宋体" w:hAnsi="宋体" w:eastAsia="宋体"/>
                <w:kern w:val="0"/>
                <w:szCs w:val="21"/>
              </w:rPr>
            </w:pPr>
            <w:r>
              <w:rPr>
                <w:rFonts w:hint="eastAsia" w:ascii="宋体" w:hAnsi="宋体" w:eastAsia="宋体"/>
                <w:kern w:val="0"/>
                <w:szCs w:val="21"/>
              </w:rPr>
              <w:t>白达乡污水处理及收集系统工程</w:t>
            </w:r>
          </w:p>
        </w:tc>
        <w:tc>
          <w:tcPr>
            <w:tcW w:w="350" w:type="pct"/>
            <w:shd w:val="clear" w:color="000000" w:fill="FFFFFF"/>
            <w:vAlign w:val="center"/>
          </w:tcPr>
          <w:p w14:paraId="244EE242">
            <w:pPr>
              <w:jc w:val="center"/>
              <w:rPr>
                <w:rFonts w:ascii="宋体" w:hAnsi="宋体" w:eastAsia="宋体"/>
                <w:kern w:val="0"/>
                <w:szCs w:val="21"/>
              </w:rPr>
            </w:pPr>
            <w:r>
              <w:rPr>
                <w:rFonts w:hint="eastAsia" w:ascii="宋体" w:hAnsi="宋体" w:eastAsia="宋体"/>
                <w:kern w:val="0"/>
                <w:szCs w:val="21"/>
              </w:rPr>
              <w:t>新建</w:t>
            </w:r>
          </w:p>
        </w:tc>
        <w:tc>
          <w:tcPr>
            <w:tcW w:w="1935" w:type="pct"/>
            <w:shd w:val="clear" w:color="000000" w:fill="FFFFFF"/>
            <w:vAlign w:val="center"/>
          </w:tcPr>
          <w:p w14:paraId="014ACDEE">
            <w:pPr>
              <w:jc w:val="center"/>
              <w:rPr>
                <w:rFonts w:ascii="宋体" w:hAnsi="宋体" w:eastAsia="宋体"/>
                <w:kern w:val="0"/>
                <w:szCs w:val="21"/>
              </w:rPr>
            </w:pPr>
            <w:r>
              <w:rPr>
                <w:rFonts w:hint="eastAsia" w:ascii="宋体" w:hAnsi="宋体" w:eastAsia="宋体"/>
                <w:kern w:val="0"/>
                <w:szCs w:val="21"/>
              </w:rPr>
              <w:t>污水处理厂1座，日处理500立方米，污水管3公里</w:t>
            </w:r>
          </w:p>
        </w:tc>
        <w:tc>
          <w:tcPr>
            <w:tcW w:w="458" w:type="pct"/>
            <w:vAlign w:val="center"/>
          </w:tcPr>
          <w:p w14:paraId="2DCACFAC">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2026~2030</w:t>
            </w:r>
          </w:p>
        </w:tc>
        <w:tc>
          <w:tcPr>
            <w:tcW w:w="507" w:type="pct"/>
            <w:vAlign w:val="center"/>
          </w:tcPr>
          <w:p w14:paraId="588DB367">
            <w:pPr>
              <w:snapToGrid w:val="0"/>
              <w:jc w:val="center"/>
              <w:rPr>
                <w:rFonts w:ascii="宋体" w:hAnsi="宋体" w:eastAsia="宋体"/>
                <w:kern w:val="0"/>
                <w:szCs w:val="21"/>
              </w:rPr>
            </w:pPr>
            <w:r>
              <w:rPr>
                <w:rFonts w:hint="eastAsia" w:ascii="宋体" w:hAnsi="宋体" w:eastAsia="宋体"/>
                <w:kern w:val="0"/>
                <w:szCs w:val="21"/>
              </w:rPr>
              <w:t>白达乡</w:t>
            </w:r>
          </w:p>
        </w:tc>
        <w:tc>
          <w:tcPr>
            <w:tcW w:w="366" w:type="pct"/>
            <w:noWrap/>
            <w:vAlign w:val="center"/>
          </w:tcPr>
          <w:p w14:paraId="4F286B6B">
            <w:pPr>
              <w:jc w:val="center"/>
              <w:rPr>
                <w:rFonts w:ascii="宋体" w:hAnsi="宋体" w:eastAsia="宋体"/>
                <w:kern w:val="0"/>
                <w:szCs w:val="21"/>
              </w:rPr>
            </w:pPr>
            <w:r>
              <w:rPr>
                <w:rFonts w:hint="eastAsia" w:ascii="宋体" w:hAnsi="宋体" w:eastAsia="宋体"/>
                <w:kern w:val="0"/>
                <w:szCs w:val="21"/>
              </w:rPr>
              <w:t>2600</w:t>
            </w:r>
          </w:p>
        </w:tc>
        <w:tc>
          <w:tcPr>
            <w:tcW w:w="413" w:type="pct"/>
            <w:vAlign w:val="center"/>
          </w:tcPr>
          <w:p w14:paraId="5CADC6BB">
            <w:pPr>
              <w:jc w:val="center"/>
              <w:rPr>
                <w:rFonts w:ascii="宋体" w:hAnsi="宋体" w:eastAsia="宋体"/>
                <w:kern w:val="0"/>
                <w:szCs w:val="21"/>
              </w:rPr>
            </w:pPr>
            <w:r>
              <w:rPr>
                <w:rFonts w:hint="eastAsia" w:ascii="宋体" w:hAnsi="宋体" w:eastAsia="宋体"/>
                <w:kern w:val="0"/>
                <w:szCs w:val="21"/>
              </w:rPr>
              <w:t>县住建局</w:t>
            </w:r>
          </w:p>
        </w:tc>
      </w:tr>
      <w:tr w14:paraId="40145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 w:type="pct"/>
            <w:shd w:val="clear" w:color="auto" w:fill="auto"/>
            <w:vAlign w:val="center"/>
          </w:tcPr>
          <w:p w14:paraId="537CB972">
            <w:pPr>
              <w:jc w:val="center"/>
              <w:textAlignment w:val="center"/>
              <w:rPr>
                <w:rFonts w:ascii="宋体" w:hAnsi="宋体" w:eastAsia="宋体"/>
                <w:color w:val="000000"/>
                <w:kern w:val="0"/>
                <w:sz w:val="22"/>
                <w:lang w:bidi="ar"/>
              </w:rPr>
            </w:pPr>
            <w:r>
              <w:rPr>
                <w:rFonts w:hint="eastAsia" w:ascii="宋体" w:hAnsi="宋体" w:eastAsia="宋体"/>
                <w:color w:val="000000"/>
                <w:kern w:val="0"/>
                <w:sz w:val="22"/>
                <w:lang w:bidi="ar"/>
              </w:rPr>
              <w:t>3</w:t>
            </w:r>
          </w:p>
        </w:tc>
        <w:tc>
          <w:tcPr>
            <w:tcW w:w="741" w:type="pct"/>
            <w:shd w:val="clear" w:color="000000" w:fill="FFFFFF"/>
            <w:vAlign w:val="center"/>
          </w:tcPr>
          <w:p w14:paraId="72E331BD">
            <w:pPr>
              <w:jc w:val="center"/>
              <w:rPr>
                <w:rFonts w:ascii="宋体" w:hAnsi="宋体" w:eastAsia="宋体"/>
                <w:kern w:val="0"/>
                <w:szCs w:val="21"/>
              </w:rPr>
            </w:pPr>
            <w:r>
              <w:rPr>
                <w:rFonts w:hint="eastAsia" w:ascii="宋体" w:hAnsi="宋体" w:eastAsia="宋体"/>
                <w:kern w:val="0"/>
                <w:szCs w:val="21"/>
              </w:rPr>
              <w:t>马利镇污水处理及收集系统工程</w:t>
            </w:r>
          </w:p>
        </w:tc>
        <w:tc>
          <w:tcPr>
            <w:tcW w:w="350" w:type="pct"/>
            <w:shd w:val="clear" w:color="000000" w:fill="FFFFFF"/>
            <w:vAlign w:val="center"/>
          </w:tcPr>
          <w:p w14:paraId="10F80C02">
            <w:pPr>
              <w:jc w:val="center"/>
              <w:rPr>
                <w:rFonts w:ascii="宋体" w:hAnsi="宋体" w:eastAsia="宋体"/>
                <w:kern w:val="0"/>
                <w:szCs w:val="21"/>
              </w:rPr>
            </w:pPr>
            <w:r>
              <w:rPr>
                <w:rFonts w:hint="eastAsia" w:ascii="宋体" w:hAnsi="宋体" w:eastAsia="宋体"/>
                <w:kern w:val="0"/>
                <w:szCs w:val="21"/>
              </w:rPr>
              <w:t>新建</w:t>
            </w:r>
          </w:p>
        </w:tc>
        <w:tc>
          <w:tcPr>
            <w:tcW w:w="1935" w:type="pct"/>
            <w:shd w:val="clear" w:color="000000" w:fill="FFFFFF"/>
            <w:vAlign w:val="center"/>
          </w:tcPr>
          <w:p w14:paraId="16F17562">
            <w:pPr>
              <w:jc w:val="center"/>
              <w:rPr>
                <w:rFonts w:ascii="宋体" w:hAnsi="宋体" w:eastAsia="宋体"/>
                <w:kern w:val="0"/>
                <w:szCs w:val="21"/>
              </w:rPr>
            </w:pPr>
            <w:r>
              <w:rPr>
                <w:rFonts w:hint="eastAsia" w:ascii="宋体" w:hAnsi="宋体" w:eastAsia="宋体"/>
                <w:kern w:val="0"/>
                <w:szCs w:val="21"/>
              </w:rPr>
              <w:t>污水处理厂1座，日处理500立方米，污水管2公里</w:t>
            </w:r>
          </w:p>
        </w:tc>
        <w:tc>
          <w:tcPr>
            <w:tcW w:w="458" w:type="pct"/>
            <w:vAlign w:val="center"/>
          </w:tcPr>
          <w:p w14:paraId="4830DD1C">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2026~2030</w:t>
            </w:r>
          </w:p>
        </w:tc>
        <w:tc>
          <w:tcPr>
            <w:tcW w:w="507" w:type="pct"/>
            <w:vAlign w:val="center"/>
          </w:tcPr>
          <w:p w14:paraId="159F50F8">
            <w:pPr>
              <w:snapToGrid w:val="0"/>
              <w:jc w:val="center"/>
              <w:rPr>
                <w:rFonts w:ascii="宋体" w:hAnsi="宋体" w:eastAsia="宋体"/>
                <w:kern w:val="0"/>
                <w:szCs w:val="21"/>
              </w:rPr>
            </w:pPr>
            <w:r>
              <w:rPr>
                <w:rFonts w:hint="eastAsia" w:ascii="宋体" w:hAnsi="宋体" w:eastAsia="宋体"/>
                <w:kern w:val="0"/>
                <w:szCs w:val="21"/>
              </w:rPr>
              <w:t>马利镇</w:t>
            </w:r>
          </w:p>
        </w:tc>
        <w:tc>
          <w:tcPr>
            <w:tcW w:w="366" w:type="pct"/>
            <w:noWrap/>
            <w:vAlign w:val="center"/>
          </w:tcPr>
          <w:p w14:paraId="1BF1ECBF">
            <w:pPr>
              <w:jc w:val="center"/>
              <w:rPr>
                <w:rFonts w:ascii="宋体" w:hAnsi="宋体" w:eastAsia="宋体"/>
                <w:kern w:val="0"/>
                <w:szCs w:val="21"/>
              </w:rPr>
            </w:pPr>
            <w:r>
              <w:rPr>
                <w:rFonts w:hint="eastAsia" w:ascii="宋体" w:hAnsi="宋体" w:eastAsia="宋体"/>
                <w:kern w:val="0"/>
                <w:szCs w:val="21"/>
              </w:rPr>
              <w:t>2400</w:t>
            </w:r>
          </w:p>
        </w:tc>
        <w:tc>
          <w:tcPr>
            <w:tcW w:w="413" w:type="pct"/>
            <w:vAlign w:val="center"/>
          </w:tcPr>
          <w:p w14:paraId="2B142D23">
            <w:pPr>
              <w:jc w:val="center"/>
              <w:rPr>
                <w:rFonts w:ascii="宋体" w:hAnsi="宋体" w:eastAsia="宋体"/>
                <w:kern w:val="0"/>
                <w:szCs w:val="21"/>
              </w:rPr>
            </w:pPr>
            <w:r>
              <w:rPr>
                <w:rFonts w:hint="eastAsia" w:ascii="宋体" w:hAnsi="宋体" w:eastAsia="宋体"/>
                <w:kern w:val="0"/>
                <w:szCs w:val="21"/>
              </w:rPr>
              <w:t>县住建局</w:t>
            </w:r>
          </w:p>
        </w:tc>
      </w:tr>
      <w:tr w14:paraId="4085F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 w:type="pct"/>
            <w:shd w:val="clear" w:color="auto" w:fill="auto"/>
            <w:vAlign w:val="center"/>
          </w:tcPr>
          <w:p w14:paraId="668F7D38">
            <w:pPr>
              <w:jc w:val="center"/>
              <w:textAlignment w:val="center"/>
              <w:rPr>
                <w:rFonts w:ascii="宋体" w:hAnsi="宋体" w:eastAsia="宋体"/>
                <w:color w:val="000000"/>
                <w:kern w:val="0"/>
                <w:sz w:val="22"/>
                <w:lang w:bidi="ar"/>
              </w:rPr>
            </w:pPr>
            <w:r>
              <w:rPr>
                <w:rFonts w:hint="eastAsia" w:ascii="宋体" w:hAnsi="宋体" w:eastAsia="宋体"/>
                <w:color w:val="000000"/>
                <w:kern w:val="0"/>
                <w:sz w:val="22"/>
                <w:lang w:bidi="ar"/>
              </w:rPr>
              <w:t>4</w:t>
            </w:r>
          </w:p>
        </w:tc>
        <w:tc>
          <w:tcPr>
            <w:tcW w:w="741" w:type="pct"/>
            <w:shd w:val="clear" w:color="000000" w:fill="FFFFFF"/>
            <w:vAlign w:val="center"/>
          </w:tcPr>
          <w:p w14:paraId="29C3BFD6">
            <w:pPr>
              <w:jc w:val="center"/>
              <w:rPr>
                <w:rFonts w:ascii="宋体" w:hAnsi="宋体" w:eastAsia="宋体"/>
                <w:kern w:val="0"/>
                <w:szCs w:val="21"/>
              </w:rPr>
            </w:pPr>
            <w:r>
              <w:rPr>
                <w:rFonts w:hint="eastAsia" w:ascii="宋体" w:hAnsi="宋体" w:eastAsia="宋体"/>
                <w:kern w:val="0"/>
                <w:szCs w:val="21"/>
              </w:rPr>
              <w:t>康沙镇污水处理及收集系统工程</w:t>
            </w:r>
          </w:p>
        </w:tc>
        <w:tc>
          <w:tcPr>
            <w:tcW w:w="350" w:type="pct"/>
            <w:shd w:val="clear" w:color="000000" w:fill="FFFFFF"/>
            <w:vAlign w:val="center"/>
          </w:tcPr>
          <w:p w14:paraId="55A33D32">
            <w:pPr>
              <w:jc w:val="center"/>
              <w:rPr>
                <w:rFonts w:ascii="宋体" w:hAnsi="宋体" w:eastAsia="宋体"/>
                <w:kern w:val="0"/>
                <w:szCs w:val="21"/>
              </w:rPr>
            </w:pPr>
            <w:r>
              <w:rPr>
                <w:rFonts w:hint="eastAsia" w:ascii="宋体" w:hAnsi="宋体" w:eastAsia="宋体"/>
                <w:kern w:val="0"/>
                <w:szCs w:val="21"/>
              </w:rPr>
              <w:t>新建</w:t>
            </w:r>
          </w:p>
        </w:tc>
        <w:tc>
          <w:tcPr>
            <w:tcW w:w="1935" w:type="pct"/>
            <w:shd w:val="clear" w:color="000000" w:fill="FFFFFF"/>
            <w:vAlign w:val="center"/>
          </w:tcPr>
          <w:p w14:paraId="726F99CD">
            <w:pPr>
              <w:jc w:val="center"/>
              <w:rPr>
                <w:rFonts w:ascii="宋体" w:hAnsi="宋体" w:eastAsia="宋体"/>
                <w:kern w:val="0"/>
                <w:szCs w:val="21"/>
              </w:rPr>
            </w:pPr>
            <w:r>
              <w:rPr>
                <w:rFonts w:hint="eastAsia" w:ascii="宋体" w:hAnsi="宋体" w:eastAsia="宋体"/>
                <w:kern w:val="0"/>
                <w:szCs w:val="21"/>
              </w:rPr>
              <w:t>污水处理厂1座，日处理500立方米，污水管8公里</w:t>
            </w:r>
          </w:p>
        </w:tc>
        <w:tc>
          <w:tcPr>
            <w:tcW w:w="458" w:type="pct"/>
            <w:vAlign w:val="center"/>
          </w:tcPr>
          <w:p w14:paraId="3E6C4A3B">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2026~2030</w:t>
            </w:r>
          </w:p>
        </w:tc>
        <w:tc>
          <w:tcPr>
            <w:tcW w:w="507" w:type="pct"/>
            <w:vAlign w:val="center"/>
          </w:tcPr>
          <w:p w14:paraId="5B687D8B">
            <w:pPr>
              <w:snapToGrid w:val="0"/>
              <w:jc w:val="center"/>
              <w:rPr>
                <w:rFonts w:ascii="宋体" w:hAnsi="宋体" w:eastAsia="宋体"/>
                <w:kern w:val="0"/>
                <w:szCs w:val="21"/>
              </w:rPr>
            </w:pPr>
            <w:r>
              <w:rPr>
                <w:rFonts w:hint="eastAsia" w:ascii="宋体" w:hAnsi="宋体" w:eastAsia="宋体"/>
                <w:kern w:val="0"/>
                <w:szCs w:val="21"/>
              </w:rPr>
              <w:t>康沙镇</w:t>
            </w:r>
          </w:p>
        </w:tc>
        <w:tc>
          <w:tcPr>
            <w:tcW w:w="366" w:type="pct"/>
            <w:noWrap/>
            <w:vAlign w:val="center"/>
          </w:tcPr>
          <w:p w14:paraId="52A51B9B">
            <w:pPr>
              <w:jc w:val="center"/>
              <w:rPr>
                <w:rFonts w:ascii="宋体" w:hAnsi="宋体" w:eastAsia="宋体"/>
                <w:kern w:val="0"/>
                <w:szCs w:val="21"/>
              </w:rPr>
            </w:pPr>
            <w:r>
              <w:rPr>
                <w:rFonts w:hint="eastAsia" w:ascii="宋体" w:hAnsi="宋体" w:eastAsia="宋体"/>
                <w:kern w:val="0"/>
                <w:szCs w:val="21"/>
              </w:rPr>
              <w:t>3600</w:t>
            </w:r>
          </w:p>
        </w:tc>
        <w:tc>
          <w:tcPr>
            <w:tcW w:w="413" w:type="pct"/>
            <w:vAlign w:val="center"/>
          </w:tcPr>
          <w:p w14:paraId="2320E88B">
            <w:pPr>
              <w:jc w:val="center"/>
              <w:rPr>
                <w:rFonts w:ascii="宋体" w:hAnsi="宋体" w:eastAsia="宋体"/>
                <w:kern w:val="0"/>
                <w:szCs w:val="21"/>
              </w:rPr>
            </w:pPr>
            <w:r>
              <w:rPr>
                <w:rFonts w:hint="eastAsia" w:ascii="宋体" w:hAnsi="宋体" w:eastAsia="宋体"/>
                <w:kern w:val="0"/>
                <w:szCs w:val="21"/>
              </w:rPr>
              <w:t>县住建局</w:t>
            </w:r>
          </w:p>
        </w:tc>
      </w:tr>
      <w:tr w14:paraId="1C4C8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 w:type="pct"/>
            <w:shd w:val="clear" w:color="auto" w:fill="auto"/>
            <w:vAlign w:val="center"/>
          </w:tcPr>
          <w:p w14:paraId="6D81BBD6">
            <w:pPr>
              <w:jc w:val="center"/>
              <w:textAlignment w:val="center"/>
              <w:rPr>
                <w:rFonts w:ascii="宋体" w:hAnsi="宋体" w:eastAsia="宋体"/>
                <w:color w:val="000000"/>
                <w:kern w:val="0"/>
                <w:sz w:val="22"/>
                <w:lang w:bidi="ar"/>
              </w:rPr>
            </w:pPr>
            <w:r>
              <w:rPr>
                <w:rFonts w:hint="eastAsia" w:ascii="宋体" w:hAnsi="宋体" w:eastAsia="宋体"/>
                <w:color w:val="000000"/>
                <w:kern w:val="0"/>
                <w:sz w:val="22"/>
                <w:lang w:bidi="ar"/>
              </w:rPr>
              <w:t>5</w:t>
            </w:r>
          </w:p>
        </w:tc>
        <w:tc>
          <w:tcPr>
            <w:tcW w:w="741" w:type="pct"/>
            <w:shd w:val="clear" w:color="000000" w:fill="FFFFFF"/>
            <w:vAlign w:val="center"/>
          </w:tcPr>
          <w:p w14:paraId="250FE9F2">
            <w:pPr>
              <w:jc w:val="center"/>
              <w:rPr>
                <w:rFonts w:ascii="宋体" w:hAnsi="宋体" w:eastAsia="宋体"/>
                <w:kern w:val="0"/>
                <w:szCs w:val="21"/>
              </w:rPr>
            </w:pPr>
            <w:r>
              <w:rPr>
                <w:rFonts w:hint="eastAsia" w:ascii="宋体" w:hAnsi="宋体" w:eastAsia="宋体"/>
                <w:kern w:val="0"/>
                <w:szCs w:val="21"/>
              </w:rPr>
              <w:t>腊久乡污水处理及收集系统工程</w:t>
            </w:r>
          </w:p>
        </w:tc>
        <w:tc>
          <w:tcPr>
            <w:tcW w:w="350" w:type="pct"/>
            <w:shd w:val="clear" w:color="000000" w:fill="FFFFFF"/>
            <w:vAlign w:val="center"/>
          </w:tcPr>
          <w:p w14:paraId="6E8E9D49">
            <w:pPr>
              <w:jc w:val="center"/>
              <w:rPr>
                <w:rFonts w:ascii="宋体" w:hAnsi="宋体" w:eastAsia="宋体"/>
                <w:kern w:val="0"/>
                <w:szCs w:val="21"/>
              </w:rPr>
            </w:pPr>
            <w:r>
              <w:rPr>
                <w:rFonts w:hint="eastAsia" w:ascii="宋体" w:hAnsi="宋体" w:eastAsia="宋体"/>
                <w:kern w:val="0"/>
                <w:szCs w:val="21"/>
              </w:rPr>
              <w:t>新建</w:t>
            </w:r>
          </w:p>
        </w:tc>
        <w:tc>
          <w:tcPr>
            <w:tcW w:w="1935" w:type="pct"/>
            <w:shd w:val="clear" w:color="000000" w:fill="FFFFFF"/>
            <w:vAlign w:val="center"/>
          </w:tcPr>
          <w:p w14:paraId="7034F872">
            <w:pPr>
              <w:jc w:val="center"/>
              <w:rPr>
                <w:rFonts w:ascii="宋体" w:hAnsi="宋体" w:eastAsia="宋体"/>
                <w:kern w:val="0"/>
                <w:szCs w:val="21"/>
              </w:rPr>
            </w:pPr>
            <w:r>
              <w:rPr>
                <w:rFonts w:hint="eastAsia" w:ascii="宋体" w:hAnsi="宋体" w:eastAsia="宋体"/>
                <w:kern w:val="0"/>
                <w:szCs w:val="21"/>
              </w:rPr>
              <w:t>污水处理厂1座，日处理500立方米，污水管8公里</w:t>
            </w:r>
          </w:p>
        </w:tc>
        <w:tc>
          <w:tcPr>
            <w:tcW w:w="458" w:type="pct"/>
            <w:vAlign w:val="center"/>
          </w:tcPr>
          <w:p w14:paraId="3B2C223A">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2026~2030</w:t>
            </w:r>
          </w:p>
        </w:tc>
        <w:tc>
          <w:tcPr>
            <w:tcW w:w="507" w:type="pct"/>
            <w:vAlign w:val="center"/>
          </w:tcPr>
          <w:p w14:paraId="2729EBCE">
            <w:pPr>
              <w:snapToGrid w:val="0"/>
              <w:jc w:val="center"/>
              <w:rPr>
                <w:rFonts w:ascii="宋体" w:hAnsi="宋体" w:eastAsia="宋体"/>
                <w:kern w:val="0"/>
                <w:szCs w:val="21"/>
              </w:rPr>
            </w:pPr>
            <w:r>
              <w:rPr>
                <w:rFonts w:hint="eastAsia" w:ascii="宋体" w:hAnsi="宋体" w:eastAsia="宋体"/>
                <w:kern w:val="0"/>
                <w:szCs w:val="21"/>
              </w:rPr>
              <w:t>腊久乡</w:t>
            </w:r>
          </w:p>
        </w:tc>
        <w:tc>
          <w:tcPr>
            <w:tcW w:w="366" w:type="pct"/>
            <w:noWrap/>
            <w:vAlign w:val="center"/>
          </w:tcPr>
          <w:p w14:paraId="0E48046C">
            <w:pPr>
              <w:jc w:val="center"/>
              <w:rPr>
                <w:rFonts w:ascii="宋体" w:hAnsi="宋体" w:eastAsia="宋体"/>
                <w:kern w:val="0"/>
                <w:szCs w:val="21"/>
              </w:rPr>
            </w:pPr>
            <w:r>
              <w:rPr>
                <w:rFonts w:hint="eastAsia" w:ascii="宋体" w:hAnsi="宋体" w:eastAsia="宋体"/>
                <w:kern w:val="0"/>
                <w:szCs w:val="21"/>
              </w:rPr>
              <w:t>3600</w:t>
            </w:r>
          </w:p>
        </w:tc>
        <w:tc>
          <w:tcPr>
            <w:tcW w:w="413" w:type="pct"/>
            <w:vAlign w:val="center"/>
          </w:tcPr>
          <w:p w14:paraId="7BDE5AC1">
            <w:pPr>
              <w:jc w:val="center"/>
              <w:rPr>
                <w:rFonts w:ascii="宋体" w:hAnsi="宋体" w:eastAsia="宋体"/>
                <w:kern w:val="0"/>
                <w:szCs w:val="21"/>
              </w:rPr>
            </w:pPr>
            <w:r>
              <w:rPr>
                <w:rFonts w:hint="eastAsia" w:ascii="宋体" w:hAnsi="宋体" w:eastAsia="宋体"/>
                <w:kern w:val="0"/>
                <w:szCs w:val="21"/>
              </w:rPr>
              <w:t>县住建局</w:t>
            </w:r>
          </w:p>
        </w:tc>
      </w:tr>
      <w:tr w14:paraId="6E981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 w:type="pct"/>
            <w:shd w:val="clear" w:color="auto" w:fill="auto"/>
            <w:vAlign w:val="center"/>
          </w:tcPr>
          <w:p w14:paraId="400F55DE">
            <w:pPr>
              <w:jc w:val="center"/>
              <w:textAlignment w:val="center"/>
              <w:rPr>
                <w:rFonts w:ascii="宋体" w:hAnsi="宋体" w:eastAsia="宋体"/>
                <w:color w:val="000000"/>
                <w:kern w:val="0"/>
                <w:sz w:val="22"/>
                <w:lang w:bidi="ar"/>
              </w:rPr>
            </w:pPr>
            <w:r>
              <w:rPr>
                <w:rFonts w:hint="eastAsia" w:ascii="宋体" w:hAnsi="宋体" w:eastAsia="宋体"/>
                <w:color w:val="000000"/>
                <w:kern w:val="0"/>
                <w:sz w:val="22"/>
                <w:lang w:bidi="ar"/>
              </w:rPr>
              <w:t>6</w:t>
            </w:r>
          </w:p>
        </w:tc>
        <w:tc>
          <w:tcPr>
            <w:tcW w:w="741" w:type="pct"/>
            <w:shd w:val="clear" w:color="000000" w:fill="FFFFFF"/>
            <w:vAlign w:val="center"/>
          </w:tcPr>
          <w:p w14:paraId="275E081B">
            <w:pPr>
              <w:jc w:val="center"/>
              <w:rPr>
                <w:rFonts w:ascii="宋体" w:hAnsi="宋体" w:eastAsia="宋体"/>
                <w:kern w:val="0"/>
                <w:szCs w:val="21"/>
              </w:rPr>
            </w:pPr>
            <w:r>
              <w:rPr>
                <w:rFonts w:hint="eastAsia" w:ascii="宋体" w:hAnsi="宋体" w:eastAsia="宋体"/>
                <w:kern w:val="0"/>
                <w:szCs w:val="21"/>
              </w:rPr>
              <w:t>硕督镇污水处理及收集系统工程</w:t>
            </w:r>
          </w:p>
        </w:tc>
        <w:tc>
          <w:tcPr>
            <w:tcW w:w="350" w:type="pct"/>
            <w:shd w:val="clear" w:color="000000" w:fill="FFFFFF"/>
            <w:vAlign w:val="center"/>
          </w:tcPr>
          <w:p w14:paraId="5D69C135">
            <w:pPr>
              <w:jc w:val="center"/>
              <w:rPr>
                <w:rFonts w:ascii="宋体" w:hAnsi="宋体" w:eastAsia="宋体"/>
                <w:kern w:val="0"/>
                <w:szCs w:val="21"/>
              </w:rPr>
            </w:pPr>
            <w:r>
              <w:rPr>
                <w:rFonts w:hint="eastAsia" w:ascii="宋体" w:hAnsi="宋体" w:eastAsia="宋体"/>
                <w:kern w:val="0"/>
                <w:szCs w:val="21"/>
              </w:rPr>
              <w:t>新建</w:t>
            </w:r>
          </w:p>
        </w:tc>
        <w:tc>
          <w:tcPr>
            <w:tcW w:w="1935" w:type="pct"/>
            <w:shd w:val="clear" w:color="000000" w:fill="FFFFFF"/>
            <w:vAlign w:val="center"/>
          </w:tcPr>
          <w:p w14:paraId="3D260072">
            <w:pPr>
              <w:jc w:val="center"/>
              <w:rPr>
                <w:rFonts w:ascii="宋体" w:hAnsi="宋体" w:eastAsia="宋体"/>
                <w:kern w:val="0"/>
                <w:szCs w:val="21"/>
              </w:rPr>
            </w:pPr>
            <w:r>
              <w:rPr>
                <w:rFonts w:hint="eastAsia" w:ascii="宋体" w:hAnsi="宋体" w:eastAsia="宋体"/>
                <w:kern w:val="0"/>
                <w:szCs w:val="21"/>
              </w:rPr>
              <w:t>污水处理厂1座，日处理500立方米，污水管6公里</w:t>
            </w:r>
          </w:p>
        </w:tc>
        <w:tc>
          <w:tcPr>
            <w:tcW w:w="458" w:type="pct"/>
            <w:vAlign w:val="center"/>
          </w:tcPr>
          <w:p w14:paraId="75EBE85B">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2026~2030</w:t>
            </w:r>
          </w:p>
        </w:tc>
        <w:tc>
          <w:tcPr>
            <w:tcW w:w="507" w:type="pct"/>
            <w:vAlign w:val="center"/>
          </w:tcPr>
          <w:p w14:paraId="763DEE2E">
            <w:pPr>
              <w:snapToGrid w:val="0"/>
              <w:jc w:val="center"/>
              <w:rPr>
                <w:rFonts w:ascii="宋体" w:hAnsi="宋体" w:eastAsia="宋体"/>
                <w:kern w:val="0"/>
                <w:szCs w:val="21"/>
              </w:rPr>
            </w:pPr>
            <w:r>
              <w:rPr>
                <w:rFonts w:hint="eastAsia" w:ascii="宋体" w:hAnsi="宋体" w:eastAsia="宋体"/>
                <w:kern w:val="0"/>
                <w:szCs w:val="21"/>
              </w:rPr>
              <w:t>硕督镇</w:t>
            </w:r>
          </w:p>
        </w:tc>
        <w:tc>
          <w:tcPr>
            <w:tcW w:w="366" w:type="pct"/>
            <w:noWrap/>
            <w:vAlign w:val="center"/>
          </w:tcPr>
          <w:p w14:paraId="40E7561E">
            <w:pPr>
              <w:jc w:val="center"/>
              <w:rPr>
                <w:rFonts w:ascii="宋体" w:hAnsi="宋体" w:eastAsia="宋体"/>
                <w:kern w:val="0"/>
                <w:szCs w:val="21"/>
              </w:rPr>
            </w:pPr>
            <w:r>
              <w:rPr>
                <w:rFonts w:hint="eastAsia" w:ascii="宋体" w:hAnsi="宋体" w:eastAsia="宋体"/>
                <w:kern w:val="0"/>
                <w:szCs w:val="21"/>
              </w:rPr>
              <w:t>3200</w:t>
            </w:r>
          </w:p>
        </w:tc>
        <w:tc>
          <w:tcPr>
            <w:tcW w:w="413" w:type="pct"/>
            <w:vAlign w:val="center"/>
          </w:tcPr>
          <w:p w14:paraId="05DF9D09">
            <w:pPr>
              <w:jc w:val="center"/>
              <w:rPr>
                <w:rFonts w:ascii="宋体" w:hAnsi="宋体" w:eastAsia="宋体"/>
                <w:kern w:val="0"/>
                <w:szCs w:val="21"/>
              </w:rPr>
            </w:pPr>
            <w:r>
              <w:rPr>
                <w:rFonts w:hint="eastAsia" w:ascii="宋体" w:hAnsi="宋体" w:eastAsia="宋体"/>
                <w:kern w:val="0"/>
                <w:szCs w:val="21"/>
              </w:rPr>
              <w:t>县住建局</w:t>
            </w:r>
          </w:p>
        </w:tc>
      </w:tr>
      <w:tr w14:paraId="4B2F3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 w:type="pct"/>
            <w:shd w:val="clear" w:color="auto" w:fill="auto"/>
            <w:vAlign w:val="center"/>
          </w:tcPr>
          <w:p w14:paraId="5BC92F15">
            <w:pPr>
              <w:jc w:val="center"/>
              <w:textAlignment w:val="center"/>
              <w:rPr>
                <w:rFonts w:ascii="宋体" w:hAnsi="宋体" w:eastAsia="宋体"/>
                <w:color w:val="000000"/>
                <w:kern w:val="0"/>
                <w:sz w:val="22"/>
                <w:lang w:bidi="ar"/>
              </w:rPr>
            </w:pPr>
            <w:r>
              <w:rPr>
                <w:rFonts w:hint="eastAsia" w:ascii="宋体" w:hAnsi="宋体" w:eastAsia="宋体"/>
                <w:color w:val="000000"/>
                <w:kern w:val="0"/>
                <w:sz w:val="22"/>
                <w:lang w:bidi="ar"/>
              </w:rPr>
              <w:t>7</w:t>
            </w:r>
          </w:p>
        </w:tc>
        <w:tc>
          <w:tcPr>
            <w:tcW w:w="741" w:type="pct"/>
            <w:shd w:val="clear" w:color="000000" w:fill="FFFFFF"/>
            <w:vAlign w:val="center"/>
          </w:tcPr>
          <w:p w14:paraId="50202666">
            <w:pPr>
              <w:jc w:val="center"/>
              <w:rPr>
                <w:rFonts w:ascii="宋体" w:hAnsi="宋体" w:eastAsia="宋体"/>
                <w:kern w:val="0"/>
                <w:szCs w:val="21"/>
              </w:rPr>
            </w:pPr>
            <w:r>
              <w:rPr>
                <w:rFonts w:hint="eastAsia" w:ascii="宋体" w:hAnsi="宋体" w:eastAsia="宋体"/>
                <w:kern w:val="0"/>
                <w:szCs w:val="21"/>
              </w:rPr>
              <w:t>中亦乡污水处理及收集系统工程</w:t>
            </w:r>
          </w:p>
        </w:tc>
        <w:tc>
          <w:tcPr>
            <w:tcW w:w="350" w:type="pct"/>
            <w:shd w:val="clear" w:color="000000" w:fill="FFFFFF"/>
            <w:vAlign w:val="center"/>
          </w:tcPr>
          <w:p w14:paraId="7C6DF4DD">
            <w:pPr>
              <w:jc w:val="center"/>
              <w:rPr>
                <w:rFonts w:ascii="宋体" w:hAnsi="宋体" w:eastAsia="宋体"/>
                <w:kern w:val="0"/>
                <w:szCs w:val="21"/>
              </w:rPr>
            </w:pPr>
            <w:r>
              <w:rPr>
                <w:rFonts w:hint="eastAsia" w:ascii="宋体" w:hAnsi="宋体" w:eastAsia="宋体"/>
                <w:kern w:val="0"/>
                <w:szCs w:val="21"/>
              </w:rPr>
              <w:t>新建</w:t>
            </w:r>
          </w:p>
        </w:tc>
        <w:tc>
          <w:tcPr>
            <w:tcW w:w="1935" w:type="pct"/>
            <w:shd w:val="clear" w:color="000000" w:fill="FFFFFF"/>
            <w:vAlign w:val="center"/>
          </w:tcPr>
          <w:p w14:paraId="2157AC03">
            <w:pPr>
              <w:jc w:val="center"/>
              <w:rPr>
                <w:rFonts w:ascii="宋体" w:hAnsi="宋体" w:eastAsia="宋体"/>
                <w:kern w:val="0"/>
                <w:szCs w:val="21"/>
              </w:rPr>
            </w:pPr>
            <w:r>
              <w:rPr>
                <w:rFonts w:hint="eastAsia" w:ascii="宋体" w:hAnsi="宋体" w:eastAsia="宋体"/>
                <w:kern w:val="0"/>
                <w:szCs w:val="21"/>
              </w:rPr>
              <w:t>污水处理厂1座，日处理500立方米，污水管6公里</w:t>
            </w:r>
          </w:p>
        </w:tc>
        <w:tc>
          <w:tcPr>
            <w:tcW w:w="458" w:type="pct"/>
            <w:vAlign w:val="center"/>
          </w:tcPr>
          <w:p w14:paraId="3B6EADF5">
            <w:pPr>
              <w:jc w:val="center"/>
              <w:rPr>
                <w:rFonts w:ascii="Times New Roman" w:hAnsi="Times New Roman" w:eastAsia="宋体" w:cs="Times New Roman"/>
                <w:kern w:val="0"/>
                <w:szCs w:val="21"/>
              </w:rPr>
            </w:pPr>
            <w:r>
              <w:rPr>
                <w:rFonts w:ascii="Times New Roman" w:hAnsi="Times New Roman" w:eastAsia="宋体" w:cs="Times New Roman"/>
                <w:kern w:val="0"/>
                <w:szCs w:val="21"/>
              </w:rPr>
              <w:t>2022~2025</w:t>
            </w:r>
          </w:p>
        </w:tc>
        <w:tc>
          <w:tcPr>
            <w:tcW w:w="507" w:type="pct"/>
            <w:vAlign w:val="center"/>
          </w:tcPr>
          <w:p w14:paraId="201452B1">
            <w:pPr>
              <w:snapToGrid w:val="0"/>
              <w:jc w:val="center"/>
              <w:rPr>
                <w:rFonts w:ascii="宋体" w:hAnsi="宋体" w:eastAsia="宋体"/>
                <w:kern w:val="0"/>
                <w:szCs w:val="21"/>
              </w:rPr>
            </w:pPr>
            <w:r>
              <w:rPr>
                <w:rFonts w:hint="eastAsia" w:ascii="宋体" w:hAnsi="宋体" w:eastAsia="宋体"/>
                <w:kern w:val="0"/>
                <w:szCs w:val="21"/>
              </w:rPr>
              <w:t>中亦乡</w:t>
            </w:r>
          </w:p>
        </w:tc>
        <w:tc>
          <w:tcPr>
            <w:tcW w:w="366" w:type="pct"/>
            <w:noWrap/>
            <w:vAlign w:val="center"/>
          </w:tcPr>
          <w:p w14:paraId="46B51D1A">
            <w:pPr>
              <w:jc w:val="center"/>
              <w:rPr>
                <w:rFonts w:ascii="宋体" w:hAnsi="宋体" w:eastAsia="宋体"/>
                <w:kern w:val="0"/>
                <w:szCs w:val="21"/>
              </w:rPr>
            </w:pPr>
            <w:r>
              <w:rPr>
                <w:rFonts w:hint="eastAsia" w:ascii="宋体" w:hAnsi="宋体" w:eastAsia="宋体"/>
                <w:kern w:val="0"/>
                <w:szCs w:val="21"/>
              </w:rPr>
              <w:t>3200</w:t>
            </w:r>
          </w:p>
        </w:tc>
        <w:tc>
          <w:tcPr>
            <w:tcW w:w="413" w:type="pct"/>
            <w:vAlign w:val="center"/>
          </w:tcPr>
          <w:p w14:paraId="2D2A4F41">
            <w:pPr>
              <w:jc w:val="center"/>
              <w:rPr>
                <w:rFonts w:ascii="宋体" w:hAnsi="宋体" w:eastAsia="宋体"/>
                <w:kern w:val="0"/>
                <w:szCs w:val="21"/>
              </w:rPr>
            </w:pPr>
            <w:r>
              <w:rPr>
                <w:rFonts w:hint="eastAsia" w:ascii="宋体" w:hAnsi="宋体" w:eastAsia="宋体"/>
                <w:kern w:val="0"/>
                <w:szCs w:val="21"/>
              </w:rPr>
              <w:t>县住建局</w:t>
            </w:r>
          </w:p>
        </w:tc>
      </w:tr>
      <w:tr w14:paraId="27B36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 w:type="pct"/>
            <w:shd w:val="clear" w:color="auto" w:fill="auto"/>
            <w:vAlign w:val="center"/>
          </w:tcPr>
          <w:p w14:paraId="6E70AB05">
            <w:pPr>
              <w:jc w:val="center"/>
              <w:textAlignment w:val="center"/>
              <w:rPr>
                <w:rFonts w:ascii="宋体" w:hAnsi="宋体" w:eastAsia="宋体"/>
                <w:color w:val="000000"/>
                <w:kern w:val="0"/>
                <w:sz w:val="22"/>
                <w:lang w:bidi="ar"/>
              </w:rPr>
            </w:pPr>
            <w:r>
              <w:rPr>
                <w:rFonts w:hint="eastAsia" w:ascii="宋体" w:hAnsi="宋体" w:eastAsia="宋体"/>
                <w:color w:val="000000"/>
                <w:kern w:val="0"/>
                <w:sz w:val="22"/>
                <w:lang w:bidi="ar"/>
              </w:rPr>
              <w:t>8</w:t>
            </w:r>
          </w:p>
        </w:tc>
        <w:tc>
          <w:tcPr>
            <w:tcW w:w="741" w:type="pct"/>
            <w:shd w:val="clear" w:color="000000" w:fill="FFFFFF"/>
            <w:vAlign w:val="center"/>
          </w:tcPr>
          <w:p w14:paraId="735DCFE1">
            <w:pPr>
              <w:jc w:val="center"/>
              <w:rPr>
                <w:rFonts w:ascii="宋体" w:hAnsi="宋体" w:eastAsia="宋体"/>
                <w:kern w:val="0"/>
                <w:szCs w:val="21"/>
              </w:rPr>
            </w:pPr>
            <w:r>
              <w:rPr>
                <w:rFonts w:hint="eastAsia" w:ascii="宋体" w:hAnsi="宋体" w:eastAsia="宋体"/>
                <w:kern w:val="0"/>
                <w:szCs w:val="21"/>
              </w:rPr>
              <w:t>俄西乡污水处理及收集系统工程</w:t>
            </w:r>
          </w:p>
        </w:tc>
        <w:tc>
          <w:tcPr>
            <w:tcW w:w="350" w:type="pct"/>
            <w:shd w:val="clear" w:color="000000" w:fill="FFFFFF"/>
            <w:vAlign w:val="center"/>
          </w:tcPr>
          <w:p w14:paraId="70FCEEAF">
            <w:pPr>
              <w:jc w:val="center"/>
              <w:rPr>
                <w:rFonts w:ascii="宋体" w:hAnsi="宋体" w:eastAsia="宋体"/>
                <w:kern w:val="0"/>
                <w:szCs w:val="21"/>
              </w:rPr>
            </w:pPr>
            <w:r>
              <w:rPr>
                <w:rFonts w:hint="eastAsia" w:ascii="宋体" w:hAnsi="宋体" w:eastAsia="宋体"/>
                <w:kern w:val="0"/>
                <w:szCs w:val="21"/>
              </w:rPr>
              <w:t>新建</w:t>
            </w:r>
          </w:p>
        </w:tc>
        <w:tc>
          <w:tcPr>
            <w:tcW w:w="1935" w:type="pct"/>
            <w:shd w:val="clear" w:color="000000" w:fill="FFFFFF"/>
            <w:vAlign w:val="center"/>
          </w:tcPr>
          <w:p w14:paraId="325DAAD5">
            <w:pPr>
              <w:jc w:val="center"/>
              <w:rPr>
                <w:rFonts w:ascii="宋体" w:hAnsi="宋体" w:eastAsia="宋体"/>
                <w:kern w:val="0"/>
                <w:szCs w:val="21"/>
              </w:rPr>
            </w:pPr>
            <w:r>
              <w:rPr>
                <w:rFonts w:hint="eastAsia" w:ascii="宋体" w:hAnsi="宋体" w:eastAsia="宋体"/>
                <w:kern w:val="0"/>
                <w:szCs w:val="21"/>
              </w:rPr>
              <w:t>污水处理厂1座，日处理500立方米，污水管8公里</w:t>
            </w:r>
          </w:p>
        </w:tc>
        <w:tc>
          <w:tcPr>
            <w:tcW w:w="458" w:type="pct"/>
            <w:vAlign w:val="center"/>
          </w:tcPr>
          <w:p w14:paraId="4E6F7F93">
            <w:pPr>
              <w:jc w:val="center"/>
              <w:rPr>
                <w:rFonts w:ascii="Times New Roman" w:hAnsi="Times New Roman" w:eastAsia="宋体" w:cs="Times New Roman"/>
                <w:kern w:val="0"/>
                <w:szCs w:val="21"/>
              </w:rPr>
            </w:pPr>
            <w:r>
              <w:rPr>
                <w:rFonts w:ascii="Times New Roman" w:hAnsi="Times New Roman" w:eastAsia="宋体" w:cs="Times New Roman"/>
                <w:kern w:val="0"/>
                <w:szCs w:val="21"/>
              </w:rPr>
              <w:t>2022~2025</w:t>
            </w:r>
          </w:p>
        </w:tc>
        <w:tc>
          <w:tcPr>
            <w:tcW w:w="507" w:type="pct"/>
            <w:vAlign w:val="center"/>
          </w:tcPr>
          <w:p w14:paraId="267E0E35">
            <w:pPr>
              <w:snapToGrid w:val="0"/>
              <w:jc w:val="center"/>
              <w:rPr>
                <w:rFonts w:ascii="宋体" w:hAnsi="宋体" w:eastAsia="宋体"/>
                <w:kern w:val="0"/>
                <w:szCs w:val="21"/>
              </w:rPr>
            </w:pPr>
            <w:r>
              <w:rPr>
                <w:rFonts w:hint="eastAsia" w:ascii="宋体" w:hAnsi="宋体" w:eastAsia="宋体"/>
                <w:kern w:val="0"/>
                <w:szCs w:val="21"/>
              </w:rPr>
              <w:t>俄西乡</w:t>
            </w:r>
          </w:p>
        </w:tc>
        <w:tc>
          <w:tcPr>
            <w:tcW w:w="366" w:type="pct"/>
            <w:noWrap/>
            <w:vAlign w:val="center"/>
          </w:tcPr>
          <w:p w14:paraId="4CF3DEFF">
            <w:pPr>
              <w:jc w:val="center"/>
              <w:rPr>
                <w:rFonts w:ascii="宋体" w:hAnsi="宋体" w:eastAsia="宋体"/>
                <w:kern w:val="0"/>
                <w:szCs w:val="21"/>
              </w:rPr>
            </w:pPr>
            <w:r>
              <w:rPr>
                <w:rFonts w:hint="eastAsia" w:ascii="宋体" w:hAnsi="宋体" w:eastAsia="宋体"/>
                <w:kern w:val="0"/>
                <w:szCs w:val="21"/>
              </w:rPr>
              <w:t>3600</w:t>
            </w:r>
          </w:p>
        </w:tc>
        <w:tc>
          <w:tcPr>
            <w:tcW w:w="413" w:type="pct"/>
            <w:vAlign w:val="center"/>
          </w:tcPr>
          <w:p w14:paraId="42BEAB03">
            <w:pPr>
              <w:jc w:val="center"/>
              <w:rPr>
                <w:rFonts w:ascii="宋体" w:hAnsi="宋体" w:eastAsia="宋体"/>
                <w:kern w:val="0"/>
                <w:szCs w:val="21"/>
              </w:rPr>
            </w:pPr>
            <w:r>
              <w:rPr>
                <w:rFonts w:hint="eastAsia" w:ascii="宋体" w:hAnsi="宋体" w:eastAsia="宋体"/>
                <w:kern w:val="0"/>
                <w:szCs w:val="21"/>
              </w:rPr>
              <w:t>县住建局</w:t>
            </w:r>
          </w:p>
        </w:tc>
      </w:tr>
      <w:tr w14:paraId="64D1B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 w:type="pct"/>
            <w:shd w:val="clear" w:color="auto" w:fill="auto"/>
            <w:vAlign w:val="center"/>
          </w:tcPr>
          <w:p w14:paraId="293A9B65">
            <w:pPr>
              <w:jc w:val="center"/>
              <w:textAlignment w:val="center"/>
              <w:rPr>
                <w:rFonts w:ascii="宋体" w:hAnsi="宋体" w:eastAsia="宋体"/>
                <w:color w:val="000000"/>
                <w:kern w:val="0"/>
                <w:sz w:val="22"/>
                <w:lang w:bidi="ar"/>
              </w:rPr>
            </w:pPr>
            <w:r>
              <w:rPr>
                <w:rFonts w:hint="eastAsia" w:ascii="宋体" w:hAnsi="宋体" w:eastAsia="宋体"/>
                <w:color w:val="000000"/>
                <w:kern w:val="0"/>
                <w:sz w:val="22"/>
                <w:lang w:bidi="ar"/>
              </w:rPr>
              <w:t>9</w:t>
            </w:r>
          </w:p>
        </w:tc>
        <w:tc>
          <w:tcPr>
            <w:tcW w:w="741" w:type="pct"/>
            <w:shd w:val="clear" w:color="000000" w:fill="FFFFFF"/>
            <w:vAlign w:val="center"/>
          </w:tcPr>
          <w:p w14:paraId="48682CF6">
            <w:pPr>
              <w:jc w:val="center"/>
              <w:rPr>
                <w:rFonts w:ascii="宋体" w:hAnsi="宋体" w:eastAsia="宋体"/>
                <w:kern w:val="0"/>
                <w:szCs w:val="21"/>
              </w:rPr>
            </w:pPr>
            <w:r>
              <w:rPr>
                <w:rFonts w:hint="eastAsia" w:ascii="宋体" w:hAnsi="宋体" w:eastAsia="宋体"/>
                <w:kern w:val="0"/>
                <w:szCs w:val="21"/>
              </w:rPr>
              <w:t>新荣乡污水处理及收集系统工程</w:t>
            </w:r>
          </w:p>
        </w:tc>
        <w:tc>
          <w:tcPr>
            <w:tcW w:w="350" w:type="pct"/>
            <w:shd w:val="clear" w:color="000000" w:fill="FFFFFF"/>
            <w:vAlign w:val="center"/>
          </w:tcPr>
          <w:p w14:paraId="5F91A6D7">
            <w:pPr>
              <w:jc w:val="center"/>
              <w:rPr>
                <w:rFonts w:ascii="宋体" w:hAnsi="宋体" w:eastAsia="宋体"/>
                <w:kern w:val="0"/>
                <w:szCs w:val="21"/>
              </w:rPr>
            </w:pPr>
            <w:r>
              <w:rPr>
                <w:rFonts w:hint="eastAsia" w:ascii="宋体" w:hAnsi="宋体" w:eastAsia="宋体"/>
                <w:kern w:val="0"/>
                <w:szCs w:val="21"/>
              </w:rPr>
              <w:t>新建</w:t>
            </w:r>
          </w:p>
        </w:tc>
        <w:tc>
          <w:tcPr>
            <w:tcW w:w="1935" w:type="pct"/>
            <w:shd w:val="clear" w:color="000000" w:fill="FFFFFF"/>
            <w:vAlign w:val="center"/>
          </w:tcPr>
          <w:p w14:paraId="71BA7F43">
            <w:pPr>
              <w:jc w:val="center"/>
              <w:rPr>
                <w:rFonts w:ascii="宋体" w:hAnsi="宋体" w:eastAsia="宋体"/>
                <w:kern w:val="0"/>
                <w:szCs w:val="21"/>
              </w:rPr>
            </w:pPr>
            <w:r>
              <w:rPr>
                <w:rFonts w:hint="eastAsia" w:ascii="宋体" w:hAnsi="宋体" w:eastAsia="宋体"/>
                <w:kern w:val="0"/>
                <w:szCs w:val="21"/>
              </w:rPr>
              <w:t>污水处理厂1座，日处理500立方米，污水管4公里</w:t>
            </w:r>
          </w:p>
        </w:tc>
        <w:tc>
          <w:tcPr>
            <w:tcW w:w="458" w:type="pct"/>
            <w:vAlign w:val="center"/>
          </w:tcPr>
          <w:p w14:paraId="1AB12288">
            <w:pPr>
              <w:jc w:val="center"/>
              <w:rPr>
                <w:rFonts w:ascii="Times New Roman" w:hAnsi="Times New Roman" w:eastAsia="宋体" w:cs="Times New Roman"/>
                <w:kern w:val="0"/>
                <w:szCs w:val="21"/>
              </w:rPr>
            </w:pPr>
            <w:r>
              <w:rPr>
                <w:rFonts w:ascii="Times New Roman" w:hAnsi="Times New Roman" w:eastAsia="宋体" w:cs="Times New Roman"/>
                <w:kern w:val="0"/>
                <w:szCs w:val="21"/>
              </w:rPr>
              <w:t>2022~2025</w:t>
            </w:r>
          </w:p>
        </w:tc>
        <w:tc>
          <w:tcPr>
            <w:tcW w:w="507" w:type="pct"/>
            <w:vAlign w:val="center"/>
          </w:tcPr>
          <w:p w14:paraId="1886722E">
            <w:pPr>
              <w:snapToGrid w:val="0"/>
              <w:jc w:val="center"/>
              <w:rPr>
                <w:rFonts w:ascii="宋体" w:hAnsi="宋体" w:eastAsia="宋体"/>
                <w:kern w:val="0"/>
                <w:szCs w:val="21"/>
              </w:rPr>
            </w:pPr>
            <w:r>
              <w:rPr>
                <w:rFonts w:hint="eastAsia" w:ascii="宋体" w:hAnsi="宋体" w:eastAsia="宋体"/>
                <w:kern w:val="0"/>
                <w:szCs w:val="21"/>
              </w:rPr>
              <w:t>新荣乡</w:t>
            </w:r>
          </w:p>
        </w:tc>
        <w:tc>
          <w:tcPr>
            <w:tcW w:w="366" w:type="pct"/>
            <w:noWrap/>
            <w:vAlign w:val="center"/>
          </w:tcPr>
          <w:p w14:paraId="78D72014">
            <w:pPr>
              <w:jc w:val="center"/>
              <w:rPr>
                <w:rFonts w:ascii="宋体" w:hAnsi="宋体" w:eastAsia="宋体"/>
                <w:kern w:val="0"/>
                <w:szCs w:val="21"/>
              </w:rPr>
            </w:pPr>
            <w:r>
              <w:rPr>
                <w:rFonts w:hint="eastAsia" w:ascii="宋体" w:hAnsi="宋体" w:eastAsia="宋体"/>
                <w:kern w:val="0"/>
                <w:szCs w:val="21"/>
              </w:rPr>
              <w:t>2800</w:t>
            </w:r>
          </w:p>
        </w:tc>
        <w:tc>
          <w:tcPr>
            <w:tcW w:w="413" w:type="pct"/>
            <w:vAlign w:val="center"/>
          </w:tcPr>
          <w:p w14:paraId="6FF6A981">
            <w:pPr>
              <w:jc w:val="center"/>
              <w:rPr>
                <w:rFonts w:ascii="宋体" w:hAnsi="宋体" w:eastAsia="宋体"/>
                <w:kern w:val="0"/>
                <w:szCs w:val="21"/>
              </w:rPr>
            </w:pPr>
            <w:r>
              <w:rPr>
                <w:rFonts w:hint="eastAsia" w:ascii="宋体" w:hAnsi="宋体" w:eastAsia="宋体"/>
                <w:kern w:val="0"/>
                <w:szCs w:val="21"/>
              </w:rPr>
              <w:t>县住建局</w:t>
            </w:r>
          </w:p>
        </w:tc>
      </w:tr>
      <w:tr w14:paraId="1DCF3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 w:type="pct"/>
            <w:shd w:val="clear" w:color="auto" w:fill="auto"/>
            <w:vAlign w:val="center"/>
          </w:tcPr>
          <w:p w14:paraId="5D99A763">
            <w:pPr>
              <w:jc w:val="center"/>
              <w:textAlignment w:val="center"/>
              <w:rPr>
                <w:rFonts w:ascii="宋体" w:hAnsi="宋体" w:eastAsia="宋体"/>
                <w:color w:val="000000"/>
                <w:kern w:val="0"/>
                <w:sz w:val="22"/>
                <w:lang w:bidi="ar"/>
              </w:rPr>
            </w:pPr>
            <w:r>
              <w:rPr>
                <w:rFonts w:hint="eastAsia" w:ascii="宋体" w:hAnsi="宋体" w:eastAsia="宋体"/>
                <w:color w:val="000000"/>
                <w:kern w:val="0"/>
                <w:sz w:val="22"/>
                <w:lang w:bidi="ar"/>
              </w:rPr>
              <w:t>10</w:t>
            </w:r>
          </w:p>
        </w:tc>
        <w:tc>
          <w:tcPr>
            <w:tcW w:w="741" w:type="pct"/>
            <w:shd w:val="clear" w:color="000000" w:fill="FFFFFF"/>
            <w:vAlign w:val="center"/>
          </w:tcPr>
          <w:p w14:paraId="6AB75DE0">
            <w:pPr>
              <w:jc w:val="center"/>
              <w:rPr>
                <w:rFonts w:ascii="宋体" w:hAnsi="宋体" w:eastAsia="宋体"/>
                <w:kern w:val="0"/>
                <w:szCs w:val="21"/>
              </w:rPr>
            </w:pPr>
            <w:r>
              <w:rPr>
                <w:rFonts w:hint="eastAsia" w:ascii="宋体" w:hAnsi="宋体" w:eastAsia="宋体"/>
                <w:kern w:val="0"/>
                <w:szCs w:val="21"/>
              </w:rPr>
              <w:t>达龙乡污水处理及收集系统工程</w:t>
            </w:r>
          </w:p>
        </w:tc>
        <w:tc>
          <w:tcPr>
            <w:tcW w:w="350" w:type="pct"/>
            <w:shd w:val="clear" w:color="000000" w:fill="FFFFFF"/>
            <w:vAlign w:val="center"/>
          </w:tcPr>
          <w:p w14:paraId="17993D35">
            <w:pPr>
              <w:jc w:val="center"/>
              <w:rPr>
                <w:rFonts w:ascii="宋体" w:hAnsi="宋体" w:eastAsia="宋体"/>
                <w:kern w:val="0"/>
                <w:szCs w:val="21"/>
              </w:rPr>
            </w:pPr>
            <w:r>
              <w:rPr>
                <w:rFonts w:hint="eastAsia" w:ascii="宋体" w:hAnsi="宋体" w:eastAsia="宋体"/>
                <w:kern w:val="0"/>
                <w:szCs w:val="21"/>
              </w:rPr>
              <w:t>新建</w:t>
            </w:r>
          </w:p>
        </w:tc>
        <w:tc>
          <w:tcPr>
            <w:tcW w:w="1935" w:type="pct"/>
            <w:shd w:val="clear" w:color="000000" w:fill="FFFFFF"/>
            <w:vAlign w:val="center"/>
          </w:tcPr>
          <w:p w14:paraId="6CCDE421">
            <w:pPr>
              <w:jc w:val="center"/>
              <w:rPr>
                <w:rFonts w:ascii="宋体" w:hAnsi="宋体" w:eastAsia="宋体"/>
                <w:kern w:val="0"/>
                <w:szCs w:val="21"/>
              </w:rPr>
            </w:pPr>
            <w:r>
              <w:rPr>
                <w:rFonts w:hint="eastAsia" w:ascii="宋体" w:hAnsi="宋体" w:eastAsia="宋体"/>
                <w:kern w:val="0"/>
                <w:szCs w:val="21"/>
              </w:rPr>
              <w:t>污水处理厂1座，日处理500立方米，污水管6公里</w:t>
            </w:r>
          </w:p>
        </w:tc>
        <w:tc>
          <w:tcPr>
            <w:tcW w:w="458" w:type="pct"/>
            <w:vAlign w:val="center"/>
          </w:tcPr>
          <w:p w14:paraId="31B5C9F0">
            <w:pPr>
              <w:jc w:val="center"/>
              <w:rPr>
                <w:rFonts w:ascii="Times New Roman" w:hAnsi="Times New Roman" w:eastAsia="宋体" w:cs="Times New Roman"/>
                <w:kern w:val="0"/>
                <w:szCs w:val="21"/>
              </w:rPr>
            </w:pPr>
            <w:r>
              <w:rPr>
                <w:rFonts w:ascii="Times New Roman" w:hAnsi="Times New Roman" w:eastAsia="宋体" w:cs="Times New Roman"/>
                <w:kern w:val="0"/>
                <w:szCs w:val="21"/>
              </w:rPr>
              <w:t>2022~2025</w:t>
            </w:r>
          </w:p>
        </w:tc>
        <w:tc>
          <w:tcPr>
            <w:tcW w:w="507" w:type="pct"/>
            <w:vAlign w:val="center"/>
          </w:tcPr>
          <w:p w14:paraId="2610D115">
            <w:pPr>
              <w:snapToGrid w:val="0"/>
              <w:jc w:val="center"/>
              <w:rPr>
                <w:rFonts w:ascii="宋体" w:hAnsi="宋体" w:eastAsia="宋体"/>
                <w:kern w:val="0"/>
                <w:szCs w:val="21"/>
              </w:rPr>
            </w:pPr>
            <w:r>
              <w:rPr>
                <w:rFonts w:hint="eastAsia" w:ascii="宋体" w:hAnsi="宋体" w:eastAsia="宋体"/>
                <w:kern w:val="0"/>
                <w:szCs w:val="21"/>
              </w:rPr>
              <w:t>达龙乡</w:t>
            </w:r>
          </w:p>
        </w:tc>
        <w:tc>
          <w:tcPr>
            <w:tcW w:w="366" w:type="pct"/>
            <w:noWrap/>
            <w:vAlign w:val="center"/>
          </w:tcPr>
          <w:p w14:paraId="6E31E4BF">
            <w:pPr>
              <w:jc w:val="center"/>
              <w:rPr>
                <w:rFonts w:ascii="宋体" w:hAnsi="宋体" w:eastAsia="宋体"/>
                <w:kern w:val="0"/>
                <w:szCs w:val="21"/>
              </w:rPr>
            </w:pPr>
            <w:r>
              <w:rPr>
                <w:rFonts w:hint="eastAsia" w:ascii="宋体" w:hAnsi="宋体" w:eastAsia="宋体"/>
                <w:kern w:val="0"/>
                <w:szCs w:val="21"/>
              </w:rPr>
              <w:t>3200</w:t>
            </w:r>
          </w:p>
        </w:tc>
        <w:tc>
          <w:tcPr>
            <w:tcW w:w="413" w:type="pct"/>
            <w:vAlign w:val="center"/>
          </w:tcPr>
          <w:p w14:paraId="0B217697">
            <w:pPr>
              <w:jc w:val="center"/>
              <w:rPr>
                <w:rFonts w:ascii="宋体" w:hAnsi="宋体" w:eastAsia="宋体"/>
                <w:kern w:val="0"/>
                <w:szCs w:val="21"/>
              </w:rPr>
            </w:pPr>
            <w:r>
              <w:rPr>
                <w:rFonts w:hint="eastAsia" w:ascii="宋体" w:hAnsi="宋体" w:eastAsia="宋体"/>
                <w:kern w:val="0"/>
                <w:szCs w:val="21"/>
              </w:rPr>
              <w:t>县住建局</w:t>
            </w:r>
          </w:p>
        </w:tc>
      </w:tr>
      <w:tr w14:paraId="0B365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 w:type="pct"/>
            <w:shd w:val="clear" w:color="auto" w:fill="auto"/>
            <w:vAlign w:val="center"/>
          </w:tcPr>
          <w:p w14:paraId="311B34EE">
            <w:pPr>
              <w:jc w:val="center"/>
              <w:textAlignment w:val="center"/>
              <w:rPr>
                <w:rFonts w:ascii="宋体" w:hAnsi="宋体" w:eastAsia="宋体"/>
                <w:color w:val="000000"/>
                <w:kern w:val="0"/>
                <w:sz w:val="22"/>
                <w:lang w:bidi="ar"/>
              </w:rPr>
            </w:pPr>
            <w:r>
              <w:rPr>
                <w:rFonts w:hint="eastAsia" w:ascii="宋体" w:hAnsi="宋体" w:eastAsia="宋体"/>
                <w:color w:val="000000"/>
                <w:kern w:val="0"/>
                <w:sz w:val="22"/>
                <w:lang w:bidi="ar"/>
              </w:rPr>
              <w:t>11</w:t>
            </w:r>
          </w:p>
        </w:tc>
        <w:tc>
          <w:tcPr>
            <w:tcW w:w="741" w:type="pct"/>
            <w:shd w:val="clear" w:color="000000" w:fill="FFFFFF"/>
            <w:vAlign w:val="center"/>
          </w:tcPr>
          <w:p w14:paraId="7BCA678C">
            <w:pPr>
              <w:jc w:val="center"/>
              <w:textAlignment w:val="center"/>
              <w:rPr>
                <w:rFonts w:ascii="宋体" w:hAnsi="宋体" w:eastAsia="宋体"/>
                <w:kern w:val="0"/>
                <w:szCs w:val="21"/>
              </w:rPr>
            </w:pPr>
            <w:r>
              <w:rPr>
                <w:rFonts w:hint="eastAsia" w:ascii="宋体" w:hAnsi="宋体" w:eastAsia="宋体"/>
                <w:kern w:val="0"/>
                <w:szCs w:val="21"/>
                <w:lang w:bidi="ar"/>
              </w:rPr>
              <w:t>昌都市洛隆县旧城供水管网改造工程</w:t>
            </w:r>
          </w:p>
        </w:tc>
        <w:tc>
          <w:tcPr>
            <w:tcW w:w="350" w:type="pct"/>
            <w:shd w:val="clear" w:color="000000" w:fill="FFFFFF"/>
            <w:vAlign w:val="center"/>
          </w:tcPr>
          <w:p w14:paraId="1EF364F1">
            <w:pPr>
              <w:jc w:val="center"/>
              <w:textAlignment w:val="center"/>
              <w:rPr>
                <w:rFonts w:ascii="宋体" w:hAnsi="宋体" w:eastAsia="宋体"/>
                <w:kern w:val="0"/>
                <w:szCs w:val="21"/>
              </w:rPr>
            </w:pPr>
            <w:r>
              <w:rPr>
                <w:rFonts w:hint="eastAsia" w:ascii="宋体" w:hAnsi="宋体" w:eastAsia="宋体"/>
                <w:kern w:val="0"/>
                <w:szCs w:val="21"/>
                <w:lang w:bidi="ar"/>
              </w:rPr>
              <w:t>新建</w:t>
            </w:r>
          </w:p>
        </w:tc>
        <w:tc>
          <w:tcPr>
            <w:tcW w:w="1935" w:type="pct"/>
            <w:shd w:val="clear" w:color="000000" w:fill="FFFFFF"/>
            <w:vAlign w:val="center"/>
          </w:tcPr>
          <w:p w14:paraId="7A74276C">
            <w:pPr>
              <w:jc w:val="center"/>
              <w:textAlignment w:val="center"/>
              <w:rPr>
                <w:rFonts w:ascii="宋体" w:hAnsi="宋体" w:eastAsia="宋体"/>
                <w:kern w:val="0"/>
                <w:szCs w:val="21"/>
              </w:rPr>
            </w:pPr>
            <w:r>
              <w:rPr>
                <w:rFonts w:hint="eastAsia" w:ascii="宋体" w:hAnsi="宋体" w:eastAsia="宋体"/>
                <w:kern w:val="0"/>
                <w:szCs w:val="21"/>
                <w:lang w:bidi="ar"/>
              </w:rPr>
              <w:t>直径140的PE管4公里，直径90PE管2公里，直径63PE管2公里及附属设施</w:t>
            </w:r>
          </w:p>
        </w:tc>
        <w:tc>
          <w:tcPr>
            <w:tcW w:w="458" w:type="pct"/>
            <w:vAlign w:val="center"/>
          </w:tcPr>
          <w:p w14:paraId="55194B13">
            <w:pPr>
              <w:jc w:val="center"/>
              <w:rPr>
                <w:rFonts w:ascii="Times New Roman" w:hAnsi="Times New Roman" w:eastAsia="宋体" w:cs="Times New Roman"/>
                <w:kern w:val="0"/>
                <w:szCs w:val="21"/>
              </w:rPr>
            </w:pPr>
            <w:r>
              <w:rPr>
                <w:rFonts w:ascii="Times New Roman" w:hAnsi="Times New Roman" w:eastAsia="宋体" w:cs="Times New Roman"/>
                <w:kern w:val="0"/>
                <w:szCs w:val="21"/>
              </w:rPr>
              <w:t>2022~2025</w:t>
            </w:r>
          </w:p>
        </w:tc>
        <w:tc>
          <w:tcPr>
            <w:tcW w:w="507" w:type="pct"/>
            <w:vAlign w:val="center"/>
          </w:tcPr>
          <w:p w14:paraId="46620705">
            <w:pPr>
              <w:snapToGrid w:val="0"/>
              <w:jc w:val="center"/>
              <w:rPr>
                <w:rFonts w:ascii="宋体" w:hAnsi="宋体" w:eastAsia="宋体"/>
                <w:kern w:val="0"/>
                <w:szCs w:val="21"/>
              </w:rPr>
            </w:pPr>
            <w:r>
              <w:rPr>
                <w:rFonts w:hint="eastAsia" w:ascii="宋体" w:hAnsi="宋体" w:eastAsia="宋体"/>
                <w:kern w:val="0"/>
                <w:szCs w:val="21"/>
              </w:rPr>
              <w:t>县城</w:t>
            </w:r>
          </w:p>
        </w:tc>
        <w:tc>
          <w:tcPr>
            <w:tcW w:w="366" w:type="pct"/>
            <w:noWrap/>
            <w:vAlign w:val="center"/>
          </w:tcPr>
          <w:p w14:paraId="39B432F8">
            <w:pPr>
              <w:jc w:val="center"/>
              <w:textAlignment w:val="center"/>
              <w:rPr>
                <w:rFonts w:ascii="宋体" w:hAnsi="宋体" w:eastAsia="宋体"/>
                <w:kern w:val="0"/>
                <w:szCs w:val="21"/>
              </w:rPr>
            </w:pPr>
            <w:r>
              <w:rPr>
                <w:rFonts w:hint="eastAsia" w:ascii="宋体" w:hAnsi="宋体" w:eastAsia="宋体"/>
                <w:kern w:val="0"/>
                <w:szCs w:val="21"/>
                <w:lang w:bidi="ar"/>
              </w:rPr>
              <w:t>1400</w:t>
            </w:r>
          </w:p>
        </w:tc>
        <w:tc>
          <w:tcPr>
            <w:tcW w:w="413" w:type="pct"/>
            <w:vAlign w:val="center"/>
          </w:tcPr>
          <w:p w14:paraId="51141A00">
            <w:pPr>
              <w:jc w:val="center"/>
              <w:rPr>
                <w:rFonts w:ascii="宋体" w:hAnsi="宋体" w:eastAsia="宋体"/>
                <w:kern w:val="0"/>
                <w:szCs w:val="21"/>
              </w:rPr>
            </w:pPr>
            <w:r>
              <w:rPr>
                <w:rFonts w:hint="eastAsia" w:ascii="宋体" w:hAnsi="宋体" w:eastAsia="宋体"/>
                <w:kern w:val="0"/>
                <w:szCs w:val="21"/>
              </w:rPr>
              <w:t>县住建局</w:t>
            </w:r>
          </w:p>
        </w:tc>
      </w:tr>
      <w:tr w14:paraId="2C639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 w:type="pct"/>
            <w:shd w:val="clear" w:color="auto" w:fill="auto"/>
            <w:vAlign w:val="center"/>
          </w:tcPr>
          <w:p w14:paraId="3FBD099C">
            <w:pPr>
              <w:jc w:val="center"/>
              <w:textAlignment w:val="center"/>
              <w:rPr>
                <w:rFonts w:ascii="宋体" w:hAnsi="宋体" w:eastAsia="宋体"/>
                <w:color w:val="000000"/>
                <w:kern w:val="0"/>
                <w:sz w:val="22"/>
                <w:lang w:bidi="ar"/>
              </w:rPr>
            </w:pPr>
            <w:r>
              <w:rPr>
                <w:rFonts w:hint="eastAsia" w:ascii="宋体" w:hAnsi="宋体" w:eastAsia="宋体"/>
                <w:color w:val="000000"/>
                <w:kern w:val="0"/>
                <w:sz w:val="22"/>
                <w:lang w:bidi="ar"/>
              </w:rPr>
              <w:t>12</w:t>
            </w:r>
          </w:p>
        </w:tc>
        <w:tc>
          <w:tcPr>
            <w:tcW w:w="741" w:type="pct"/>
            <w:shd w:val="clear" w:color="000000" w:fill="FFFFFF"/>
            <w:vAlign w:val="center"/>
          </w:tcPr>
          <w:p w14:paraId="52268355">
            <w:pPr>
              <w:jc w:val="center"/>
              <w:textAlignment w:val="center"/>
              <w:rPr>
                <w:rFonts w:ascii="宋体" w:hAnsi="宋体" w:eastAsia="宋体"/>
                <w:kern w:val="0"/>
                <w:szCs w:val="21"/>
              </w:rPr>
            </w:pPr>
            <w:r>
              <w:rPr>
                <w:rFonts w:hint="eastAsia" w:ascii="宋体" w:hAnsi="宋体" w:eastAsia="宋体"/>
                <w:kern w:val="0"/>
                <w:szCs w:val="21"/>
                <w:lang w:bidi="ar"/>
              </w:rPr>
              <w:t>昌都市洛隆县工业园区、排水管网工程</w:t>
            </w:r>
          </w:p>
        </w:tc>
        <w:tc>
          <w:tcPr>
            <w:tcW w:w="350" w:type="pct"/>
            <w:shd w:val="clear" w:color="000000" w:fill="FFFFFF"/>
            <w:vAlign w:val="center"/>
          </w:tcPr>
          <w:p w14:paraId="2A892FAB">
            <w:pPr>
              <w:jc w:val="center"/>
              <w:textAlignment w:val="center"/>
              <w:rPr>
                <w:rFonts w:ascii="宋体" w:hAnsi="宋体" w:eastAsia="宋体"/>
                <w:kern w:val="0"/>
                <w:szCs w:val="21"/>
              </w:rPr>
            </w:pPr>
            <w:r>
              <w:rPr>
                <w:rFonts w:hint="eastAsia" w:ascii="宋体" w:hAnsi="宋体" w:eastAsia="宋体"/>
                <w:kern w:val="0"/>
                <w:szCs w:val="21"/>
                <w:lang w:bidi="ar"/>
              </w:rPr>
              <w:t>新建</w:t>
            </w:r>
          </w:p>
        </w:tc>
        <w:tc>
          <w:tcPr>
            <w:tcW w:w="1935" w:type="pct"/>
            <w:shd w:val="clear" w:color="000000" w:fill="FFFFFF"/>
            <w:vAlign w:val="center"/>
          </w:tcPr>
          <w:p w14:paraId="6BF67A27">
            <w:pPr>
              <w:jc w:val="center"/>
              <w:textAlignment w:val="center"/>
              <w:rPr>
                <w:rFonts w:ascii="宋体" w:hAnsi="宋体" w:eastAsia="宋体"/>
                <w:kern w:val="0"/>
                <w:szCs w:val="21"/>
              </w:rPr>
            </w:pPr>
            <w:r>
              <w:rPr>
                <w:rFonts w:hint="eastAsia" w:ascii="宋体" w:hAnsi="宋体" w:eastAsia="宋体"/>
                <w:kern w:val="0"/>
                <w:szCs w:val="21"/>
                <w:lang w:bidi="ar"/>
              </w:rPr>
              <w:t>新建排水管网9公里</w:t>
            </w:r>
          </w:p>
        </w:tc>
        <w:tc>
          <w:tcPr>
            <w:tcW w:w="458" w:type="pct"/>
            <w:vAlign w:val="center"/>
          </w:tcPr>
          <w:p w14:paraId="69B90B7F">
            <w:pPr>
              <w:jc w:val="center"/>
              <w:rPr>
                <w:rFonts w:ascii="Times New Roman" w:hAnsi="Times New Roman" w:eastAsia="宋体" w:cs="Times New Roman"/>
                <w:kern w:val="0"/>
                <w:szCs w:val="21"/>
              </w:rPr>
            </w:pPr>
            <w:r>
              <w:rPr>
                <w:rFonts w:ascii="Times New Roman" w:hAnsi="Times New Roman" w:eastAsia="宋体" w:cs="Times New Roman"/>
                <w:kern w:val="0"/>
                <w:szCs w:val="21"/>
              </w:rPr>
              <w:t>2022~2025</w:t>
            </w:r>
          </w:p>
        </w:tc>
        <w:tc>
          <w:tcPr>
            <w:tcW w:w="507" w:type="pct"/>
            <w:vAlign w:val="center"/>
          </w:tcPr>
          <w:p w14:paraId="7AFB058A">
            <w:pPr>
              <w:snapToGrid w:val="0"/>
              <w:jc w:val="center"/>
              <w:rPr>
                <w:rFonts w:ascii="宋体" w:hAnsi="宋体" w:eastAsia="宋体"/>
                <w:kern w:val="0"/>
                <w:szCs w:val="21"/>
              </w:rPr>
            </w:pPr>
            <w:r>
              <w:rPr>
                <w:rFonts w:hint="eastAsia" w:ascii="宋体" w:hAnsi="宋体" w:eastAsia="宋体"/>
                <w:kern w:val="0"/>
                <w:szCs w:val="21"/>
                <w:lang w:bidi="ar"/>
              </w:rPr>
              <w:t>县工业园区</w:t>
            </w:r>
          </w:p>
        </w:tc>
        <w:tc>
          <w:tcPr>
            <w:tcW w:w="366" w:type="pct"/>
            <w:noWrap/>
            <w:vAlign w:val="center"/>
          </w:tcPr>
          <w:p w14:paraId="0B106962">
            <w:pPr>
              <w:jc w:val="center"/>
              <w:textAlignment w:val="center"/>
              <w:rPr>
                <w:rFonts w:ascii="宋体" w:hAnsi="宋体" w:eastAsia="宋体"/>
                <w:kern w:val="0"/>
                <w:szCs w:val="21"/>
              </w:rPr>
            </w:pPr>
            <w:r>
              <w:rPr>
                <w:rFonts w:hint="eastAsia" w:ascii="宋体" w:hAnsi="宋体" w:eastAsia="宋体"/>
                <w:kern w:val="0"/>
                <w:szCs w:val="21"/>
                <w:lang w:bidi="ar"/>
              </w:rPr>
              <w:t>1200</w:t>
            </w:r>
          </w:p>
        </w:tc>
        <w:tc>
          <w:tcPr>
            <w:tcW w:w="413" w:type="pct"/>
            <w:vAlign w:val="center"/>
          </w:tcPr>
          <w:p w14:paraId="0FA79DF6">
            <w:pPr>
              <w:jc w:val="center"/>
              <w:rPr>
                <w:rFonts w:ascii="宋体" w:hAnsi="宋体" w:eastAsia="宋体"/>
                <w:kern w:val="0"/>
                <w:szCs w:val="21"/>
              </w:rPr>
            </w:pPr>
            <w:r>
              <w:rPr>
                <w:rFonts w:hint="eastAsia" w:ascii="宋体" w:hAnsi="宋体" w:eastAsia="宋体"/>
                <w:kern w:val="0"/>
                <w:szCs w:val="21"/>
              </w:rPr>
              <w:t>县住建局</w:t>
            </w:r>
          </w:p>
        </w:tc>
      </w:tr>
      <w:tr w14:paraId="6F9E9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 w:type="pct"/>
            <w:shd w:val="clear" w:color="auto" w:fill="auto"/>
            <w:vAlign w:val="center"/>
          </w:tcPr>
          <w:p w14:paraId="0311F0A8">
            <w:pPr>
              <w:jc w:val="center"/>
              <w:textAlignment w:val="center"/>
              <w:rPr>
                <w:rFonts w:ascii="宋体" w:hAnsi="宋体" w:eastAsia="宋体"/>
                <w:color w:val="000000"/>
                <w:kern w:val="0"/>
                <w:sz w:val="22"/>
                <w:lang w:bidi="ar"/>
              </w:rPr>
            </w:pPr>
            <w:r>
              <w:rPr>
                <w:rFonts w:hint="eastAsia" w:ascii="宋体" w:hAnsi="宋体" w:eastAsia="宋体"/>
                <w:color w:val="000000"/>
                <w:kern w:val="0"/>
                <w:sz w:val="22"/>
                <w:lang w:bidi="ar"/>
              </w:rPr>
              <w:t>13</w:t>
            </w:r>
          </w:p>
        </w:tc>
        <w:tc>
          <w:tcPr>
            <w:tcW w:w="741" w:type="pct"/>
            <w:shd w:val="clear" w:color="000000" w:fill="FFFFFF"/>
            <w:vAlign w:val="center"/>
          </w:tcPr>
          <w:p w14:paraId="6249FF32">
            <w:pPr>
              <w:jc w:val="center"/>
              <w:textAlignment w:val="center"/>
              <w:rPr>
                <w:rFonts w:ascii="宋体" w:hAnsi="宋体" w:eastAsia="宋体"/>
                <w:kern w:val="0"/>
                <w:szCs w:val="21"/>
              </w:rPr>
            </w:pPr>
            <w:r>
              <w:rPr>
                <w:rFonts w:hint="eastAsia" w:ascii="宋体" w:hAnsi="宋体" w:eastAsia="宋体"/>
                <w:kern w:val="0"/>
                <w:szCs w:val="21"/>
                <w:lang w:bidi="ar"/>
              </w:rPr>
              <w:t>昌都市洛隆县思梦达片区排水管网工程</w:t>
            </w:r>
          </w:p>
        </w:tc>
        <w:tc>
          <w:tcPr>
            <w:tcW w:w="350" w:type="pct"/>
            <w:shd w:val="clear" w:color="000000" w:fill="FFFFFF"/>
            <w:vAlign w:val="center"/>
          </w:tcPr>
          <w:p w14:paraId="4BD01AC6">
            <w:pPr>
              <w:jc w:val="center"/>
              <w:textAlignment w:val="center"/>
              <w:rPr>
                <w:rFonts w:ascii="宋体" w:hAnsi="宋体" w:eastAsia="宋体"/>
                <w:kern w:val="0"/>
                <w:szCs w:val="21"/>
              </w:rPr>
            </w:pPr>
            <w:r>
              <w:rPr>
                <w:rFonts w:hint="eastAsia" w:ascii="宋体" w:hAnsi="宋体" w:eastAsia="宋体"/>
                <w:kern w:val="0"/>
                <w:szCs w:val="21"/>
                <w:lang w:bidi="ar"/>
              </w:rPr>
              <w:t>新建</w:t>
            </w:r>
          </w:p>
        </w:tc>
        <w:tc>
          <w:tcPr>
            <w:tcW w:w="1935" w:type="pct"/>
            <w:shd w:val="clear" w:color="000000" w:fill="FFFFFF"/>
            <w:vAlign w:val="center"/>
          </w:tcPr>
          <w:p w14:paraId="09A00735">
            <w:pPr>
              <w:jc w:val="center"/>
              <w:textAlignment w:val="center"/>
              <w:rPr>
                <w:rFonts w:ascii="宋体" w:hAnsi="宋体" w:eastAsia="宋体"/>
                <w:kern w:val="0"/>
                <w:szCs w:val="21"/>
              </w:rPr>
            </w:pPr>
            <w:r>
              <w:rPr>
                <w:rFonts w:hint="eastAsia" w:ascii="宋体" w:hAnsi="宋体" w:eastAsia="宋体"/>
                <w:kern w:val="0"/>
                <w:szCs w:val="21"/>
                <w:lang w:bidi="ar"/>
              </w:rPr>
              <w:t>新建排水管网9公里及其附属设施等</w:t>
            </w:r>
          </w:p>
        </w:tc>
        <w:tc>
          <w:tcPr>
            <w:tcW w:w="458" w:type="pct"/>
            <w:vAlign w:val="center"/>
          </w:tcPr>
          <w:p w14:paraId="5B413799">
            <w:pPr>
              <w:jc w:val="center"/>
              <w:rPr>
                <w:rFonts w:ascii="Times New Roman" w:hAnsi="Times New Roman" w:eastAsia="宋体" w:cs="Times New Roman"/>
                <w:kern w:val="0"/>
                <w:szCs w:val="21"/>
              </w:rPr>
            </w:pPr>
            <w:r>
              <w:rPr>
                <w:rFonts w:ascii="Times New Roman" w:hAnsi="Times New Roman" w:eastAsia="宋体" w:cs="Times New Roman"/>
                <w:kern w:val="0"/>
                <w:szCs w:val="21"/>
              </w:rPr>
              <w:t>2022~2025</w:t>
            </w:r>
          </w:p>
        </w:tc>
        <w:tc>
          <w:tcPr>
            <w:tcW w:w="507" w:type="pct"/>
            <w:vAlign w:val="center"/>
          </w:tcPr>
          <w:p w14:paraId="6FFEBD06">
            <w:pPr>
              <w:snapToGrid w:val="0"/>
              <w:jc w:val="center"/>
              <w:rPr>
                <w:rFonts w:ascii="宋体" w:hAnsi="宋体" w:eastAsia="宋体"/>
                <w:kern w:val="0"/>
                <w:szCs w:val="21"/>
              </w:rPr>
            </w:pPr>
            <w:r>
              <w:rPr>
                <w:rFonts w:hint="eastAsia" w:ascii="宋体" w:hAnsi="宋体" w:eastAsia="宋体"/>
                <w:kern w:val="0"/>
                <w:szCs w:val="21"/>
                <w:lang w:bidi="ar"/>
              </w:rPr>
              <w:t>思梦达片区</w:t>
            </w:r>
          </w:p>
        </w:tc>
        <w:tc>
          <w:tcPr>
            <w:tcW w:w="366" w:type="pct"/>
            <w:noWrap/>
            <w:vAlign w:val="center"/>
          </w:tcPr>
          <w:p w14:paraId="1AA68438">
            <w:pPr>
              <w:jc w:val="center"/>
              <w:textAlignment w:val="center"/>
              <w:rPr>
                <w:rFonts w:ascii="宋体" w:hAnsi="宋体" w:eastAsia="宋体"/>
                <w:kern w:val="0"/>
                <w:szCs w:val="21"/>
              </w:rPr>
            </w:pPr>
            <w:r>
              <w:rPr>
                <w:rFonts w:hint="eastAsia" w:ascii="宋体" w:hAnsi="宋体" w:eastAsia="宋体"/>
                <w:kern w:val="0"/>
                <w:szCs w:val="21"/>
                <w:lang w:bidi="ar"/>
              </w:rPr>
              <w:t>1700</w:t>
            </w:r>
          </w:p>
        </w:tc>
        <w:tc>
          <w:tcPr>
            <w:tcW w:w="413" w:type="pct"/>
            <w:vAlign w:val="center"/>
          </w:tcPr>
          <w:p w14:paraId="012B27B2">
            <w:pPr>
              <w:jc w:val="center"/>
              <w:rPr>
                <w:rFonts w:ascii="宋体" w:hAnsi="宋体" w:eastAsia="宋体"/>
                <w:kern w:val="0"/>
                <w:szCs w:val="21"/>
              </w:rPr>
            </w:pPr>
            <w:r>
              <w:rPr>
                <w:rFonts w:hint="eastAsia" w:ascii="宋体" w:hAnsi="宋体" w:eastAsia="宋体"/>
                <w:kern w:val="0"/>
                <w:szCs w:val="21"/>
              </w:rPr>
              <w:t>县住建局</w:t>
            </w:r>
          </w:p>
        </w:tc>
      </w:tr>
      <w:tr w14:paraId="3F4E8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 w:type="pct"/>
            <w:shd w:val="clear" w:color="auto" w:fill="auto"/>
            <w:vAlign w:val="center"/>
          </w:tcPr>
          <w:p w14:paraId="325ABE16">
            <w:pPr>
              <w:jc w:val="center"/>
              <w:textAlignment w:val="center"/>
              <w:rPr>
                <w:rFonts w:ascii="宋体" w:hAnsi="宋体" w:eastAsia="宋体"/>
                <w:color w:val="000000"/>
                <w:kern w:val="0"/>
                <w:sz w:val="22"/>
                <w:lang w:bidi="ar"/>
              </w:rPr>
            </w:pPr>
            <w:r>
              <w:rPr>
                <w:rFonts w:hint="eastAsia" w:ascii="宋体" w:hAnsi="宋体" w:eastAsia="宋体"/>
                <w:color w:val="000000"/>
                <w:kern w:val="0"/>
                <w:sz w:val="22"/>
                <w:lang w:bidi="ar"/>
              </w:rPr>
              <w:t>14</w:t>
            </w:r>
          </w:p>
        </w:tc>
        <w:tc>
          <w:tcPr>
            <w:tcW w:w="741" w:type="pct"/>
            <w:shd w:val="clear" w:color="000000" w:fill="FFFFFF"/>
            <w:vAlign w:val="center"/>
          </w:tcPr>
          <w:p w14:paraId="5E3B1DBE">
            <w:pPr>
              <w:jc w:val="center"/>
              <w:textAlignment w:val="center"/>
              <w:rPr>
                <w:rFonts w:ascii="宋体" w:hAnsi="宋体" w:eastAsia="宋体"/>
                <w:kern w:val="0"/>
                <w:szCs w:val="21"/>
                <w:lang w:bidi="ar"/>
              </w:rPr>
            </w:pPr>
            <w:r>
              <w:rPr>
                <w:rFonts w:hint="eastAsia" w:ascii="宋体" w:hAnsi="宋体" w:eastAsia="宋体"/>
                <w:kern w:val="0"/>
                <w:szCs w:val="21"/>
                <w:lang w:bidi="ar"/>
              </w:rPr>
              <w:t>昌都市洛隆县县城污水管网延伸工程</w:t>
            </w:r>
          </w:p>
        </w:tc>
        <w:tc>
          <w:tcPr>
            <w:tcW w:w="350" w:type="pct"/>
            <w:shd w:val="clear" w:color="000000" w:fill="FFFFFF"/>
            <w:vAlign w:val="center"/>
          </w:tcPr>
          <w:p w14:paraId="1CF0F45E">
            <w:pPr>
              <w:jc w:val="center"/>
              <w:textAlignment w:val="center"/>
              <w:rPr>
                <w:rFonts w:ascii="宋体" w:hAnsi="宋体" w:eastAsia="宋体"/>
                <w:kern w:val="0"/>
                <w:szCs w:val="21"/>
                <w:lang w:bidi="ar"/>
              </w:rPr>
            </w:pPr>
            <w:r>
              <w:rPr>
                <w:rFonts w:hint="eastAsia" w:ascii="宋体" w:hAnsi="宋体" w:eastAsia="宋体"/>
                <w:kern w:val="0"/>
                <w:szCs w:val="21"/>
                <w:lang w:bidi="ar"/>
              </w:rPr>
              <w:t>新建</w:t>
            </w:r>
          </w:p>
        </w:tc>
        <w:tc>
          <w:tcPr>
            <w:tcW w:w="1935" w:type="pct"/>
            <w:shd w:val="clear" w:color="000000" w:fill="FFFFFF"/>
            <w:vAlign w:val="center"/>
          </w:tcPr>
          <w:p w14:paraId="62DB74AA">
            <w:pPr>
              <w:jc w:val="center"/>
              <w:textAlignment w:val="center"/>
              <w:rPr>
                <w:rFonts w:ascii="宋体" w:hAnsi="宋体" w:eastAsia="宋体"/>
                <w:kern w:val="0"/>
                <w:szCs w:val="21"/>
                <w:lang w:bidi="ar"/>
              </w:rPr>
            </w:pPr>
            <w:r>
              <w:rPr>
                <w:rFonts w:hint="eastAsia" w:ascii="宋体" w:hAnsi="宋体" w:eastAsia="宋体"/>
                <w:kern w:val="0"/>
                <w:szCs w:val="21"/>
                <w:lang w:bidi="ar"/>
              </w:rPr>
              <w:t>新建污水管网8.4公里及其配套附属设施等。</w:t>
            </w:r>
          </w:p>
        </w:tc>
        <w:tc>
          <w:tcPr>
            <w:tcW w:w="458" w:type="pct"/>
            <w:vAlign w:val="center"/>
          </w:tcPr>
          <w:p w14:paraId="181798A5">
            <w:pPr>
              <w:jc w:val="center"/>
              <w:rPr>
                <w:rFonts w:ascii="Times New Roman" w:hAnsi="Times New Roman" w:eastAsia="宋体" w:cs="Times New Roman"/>
                <w:kern w:val="0"/>
                <w:szCs w:val="21"/>
              </w:rPr>
            </w:pPr>
            <w:r>
              <w:rPr>
                <w:rFonts w:ascii="Times New Roman" w:hAnsi="Times New Roman" w:eastAsia="宋体" w:cs="Times New Roman"/>
                <w:kern w:val="0"/>
                <w:szCs w:val="21"/>
              </w:rPr>
              <w:t>2022~2025</w:t>
            </w:r>
          </w:p>
        </w:tc>
        <w:tc>
          <w:tcPr>
            <w:tcW w:w="507" w:type="pct"/>
            <w:vAlign w:val="center"/>
          </w:tcPr>
          <w:p w14:paraId="5C47A138">
            <w:pPr>
              <w:snapToGrid w:val="0"/>
              <w:jc w:val="center"/>
              <w:rPr>
                <w:rFonts w:ascii="宋体" w:hAnsi="宋体" w:eastAsia="宋体"/>
                <w:kern w:val="0"/>
                <w:szCs w:val="21"/>
              </w:rPr>
            </w:pPr>
            <w:r>
              <w:rPr>
                <w:rFonts w:hint="eastAsia" w:ascii="宋体" w:hAnsi="宋体" w:eastAsia="宋体"/>
                <w:kern w:val="0"/>
                <w:szCs w:val="21"/>
                <w:lang w:bidi="ar"/>
              </w:rPr>
              <w:t>县城</w:t>
            </w:r>
          </w:p>
        </w:tc>
        <w:tc>
          <w:tcPr>
            <w:tcW w:w="366" w:type="pct"/>
            <w:noWrap/>
            <w:vAlign w:val="center"/>
          </w:tcPr>
          <w:p w14:paraId="4300D2C9">
            <w:pPr>
              <w:jc w:val="center"/>
              <w:textAlignment w:val="center"/>
              <w:rPr>
                <w:rFonts w:ascii="宋体" w:hAnsi="宋体" w:eastAsia="宋体"/>
                <w:kern w:val="0"/>
                <w:szCs w:val="21"/>
                <w:lang w:bidi="ar"/>
              </w:rPr>
            </w:pPr>
            <w:r>
              <w:rPr>
                <w:rFonts w:hint="eastAsia" w:ascii="宋体" w:hAnsi="宋体" w:eastAsia="宋体"/>
                <w:kern w:val="0"/>
                <w:szCs w:val="21"/>
                <w:lang w:bidi="ar"/>
              </w:rPr>
              <w:t>1799.3</w:t>
            </w:r>
          </w:p>
        </w:tc>
        <w:tc>
          <w:tcPr>
            <w:tcW w:w="413" w:type="pct"/>
            <w:vAlign w:val="center"/>
          </w:tcPr>
          <w:p w14:paraId="11A34303">
            <w:pPr>
              <w:jc w:val="center"/>
              <w:rPr>
                <w:rFonts w:ascii="宋体" w:hAnsi="宋体" w:eastAsia="宋体"/>
                <w:kern w:val="0"/>
                <w:szCs w:val="21"/>
              </w:rPr>
            </w:pPr>
            <w:r>
              <w:rPr>
                <w:rFonts w:hint="eastAsia" w:ascii="宋体" w:hAnsi="宋体" w:eastAsia="宋体"/>
                <w:kern w:val="0"/>
                <w:szCs w:val="21"/>
              </w:rPr>
              <w:t>县住建局</w:t>
            </w:r>
          </w:p>
        </w:tc>
      </w:tr>
      <w:tr w14:paraId="59694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 w:type="pct"/>
            <w:shd w:val="clear" w:color="auto" w:fill="auto"/>
            <w:vAlign w:val="center"/>
          </w:tcPr>
          <w:p w14:paraId="42114B64">
            <w:pPr>
              <w:jc w:val="center"/>
              <w:textAlignment w:val="center"/>
              <w:rPr>
                <w:rFonts w:ascii="宋体" w:hAnsi="宋体" w:eastAsia="宋体"/>
                <w:color w:val="000000"/>
                <w:kern w:val="0"/>
                <w:sz w:val="22"/>
                <w:lang w:bidi="ar"/>
              </w:rPr>
            </w:pPr>
            <w:r>
              <w:rPr>
                <w:rFonts w:hint="eastAsia" w:ascii="宋体" w:hAnsi="宋体" w:eastAsia="宋体"/>
                <w:color w:val="000000"/>
                <w:kern w:val="0"/>
                <w:sz w:val="22"/>
                <w:lang w:bidi="ar"/>
              </w:rPr>
              <w:t>15</w:t>
            </w:r>
          </w:p>
        </w:tc>
        <w:tc>
          <w:tcPr>
            <w:tcW w:w="741" w:type="pct"/>
            <w:shd w:val="clear" w:color="000000" w:fill="FFFFFF"/>
            <w:vAlign w:val="center"/>
          </w:tcPr>
          <w:p w14:paraId="2C860A4E">
            <w:pPr>
              <w:jc w:val="center"/>
              <w:textAlignment w:val="center"/>
              <w:rPr>
                <w:rFonts w:ascii="宋体" w:hAnsi="宋体" w:eastAsia="宋体"/>
                <w:kern w:val="0"/>
                <w:szCs w:val="21"/>
              </w:rPr>
            </w:pPr>
            <w:r>
              <w:rPr>
                <w:rFonts w:hint="eastAsia" w:ascii="宋体" w:hAnsi="宋体" w:eastAsia="宋体"/>
                <w:kern w:val="0"/>
                <w:szCs w:val="21"/>
                <w:lang w:bidi="ar"/>
              </w:rPr>
              <w:t>昌都市洛隆县曲扎贡片区排水管网工程</w:t>
            </w:r>
          </w:p>
        </w:tc>
        <w:tc>
          <w:tcPr>
            <w:tcW w:w="350" w:type="pct"/>
            <w:shd w:val="clear" w:color="000000" w:fill="FFFFFF"/>
            <w:vAlign w:val="center"/>
          </w:tcPr>
          <w:p w14:paraId="2D46170C">
            <w:pPr>
              <w:jc w:val="center"/>
              <w:textAlignment w:val="center"/>
              <w:rPr>
                <w:rFonts w:ascii="宋体" w:hAnsi="宋体" w:eastAsia="宋体"/>
                <w:kern w:val="0"/>
                <w:szCs w:val="21"/>
              </w:rPr>
            </w:pPr>
            <w:r>
              <w:rPr>
                <w:rFonts w:hint="eastAsia" w:ascii="宋体" w:hAnsi="宋体" w:eastAsia="宋体"/>
                <w:kern w:val="0"/>
                <w:szCs w:val="21"/>
                <w:lang w:bidi="ar"/>
              </w:rPr>
              <w:t>新建</w:t>
            </w:r>
          </w:p>
        </w:tc>
        <w:tc>
          <w:tcPr>
            <w:tcW w:w="1935" w:type="pct"/>
            <w:shd w:val="clear" w:color="000000" w:fill="FFFFFF"/>
            <w:vAlign w:val="center"/>
          </w:tcPr>
          <w:p w14:paraId="74EEF07D">
            <w:pPr>
              <w:jc w:val="center"/>
              <w:textAlignment w:val="center"/>
              <w:rPr>
                <w:rFonts w:ascii="宋体" w:hAnsi="宋体" w:eastAsia="宋体"/>
                <w:kern w:val="0"/>
                <w:szCs w:val="21"/>
              </w:rPr>
            </w:pPr>
            <w:r>
              <w:rPr>
                <w:rFonts w:hint="eastAsia" w:ascii="宋体" w:hAnsi="宋体" w:eastAsia="宋体"/>
                <w:kern w:val="0"/>
                <w:szCs w:val="21"/>
                <w:lang w:bidi="ar"/>
              </w:rPr>
              <w:t>新建排水管网9公里</w:t>
            </w:r>
          </w:p>
        </w:tc>
        <w:tc>
          <w:tcPr>
            <w:tcW w:w="458" w:type="pct"/>
            <w:vAlign w:val="center"/>
          </w:tcPr>
          <w:p w14:paraId="0D8CD00B">
            <w:pPr>
              <w:jc w:val="center"/>
              <w:rPr>
                <w:rFonts w:ascii="Times New Roman" w:hAnsi="Times New Roman" w:eastAsia="宋体" w:cs="Times New Roman"/>
                <w:kern w:val="0"/>
                <w:szCs w:val="21"/>
              </w:rPr>
            </w:pPr>
            <w:r>
              <w:rPr>
                <w:rFonts w:ascii="Times New Roman" w:hAnsi="Times New Roman" w:eastAsia="宋体" w:cs="Times New Roman"/>
                <w:kern w:val="0"/>
                <w:szCs w:val="21"/>
              </w:rPr>
              <w:t>2022~2025</w:t>
            </w:r>
          </w:p>
        </w:tc>
        <w:tc>
          <w:tcPr>
            <w:tcW w:w="507" w:type="pct"/>
            <w:vAlign w:val="center"/>
          </w:tcPr>
          <w:p w14:paraId="6E15E75F">
            <w:pPr>
              <w:snapToGrid w:val="0"/>
              <w:jc w:val="center"/>
              <w:rPr>
                <w:rFonts w:ascii="宋体" w:hAnsi="宋体" w:eastAsia="宋体"/>
                <w:kern w:val="0"/>
                <w:szCs w:val="21"/>
              </w:rPr>
            </w:pPr>
            <w:r>
              <w:rPr>
                <w:rFonts w:hint="eastAsia" w:ascii="宋体" w:hAnsi="宋体" w:eastAsia="宋体"/>
                <w:kern w:val="0"/>
                <w:szCs w:val="21"/>
                <w:lang w:bidi="ar"/>
              </w:rPr>
              <w:t>曲扎贡片区</w:t>
            </w:r>
          </w:p>
        </w:tc>
        <w:tc>
          <w:tcPr>
            <w:tcW w:w="366" w:type="pct"/>
            <w:noWrap/>
            <w:vAlign w:val="center"/>
          </w:tcPr>
          <w:p w14:paraId="595A1C40">
            <w:pPr>
              <w:jc w:val="center"/>
              <w:textAlignment w:val="center"/>
              <w:rPr>
                <w:rFonts w:ascii="宋体" w:hAnsi="宋体" w:eastAsia="宋体"/>
                <w:kern w:val="0"/>
                <w:szCs w:val="21"/>
              </w:rPr>
            </w:pPr>
            <w:r>
              <w:rPr>
                <w:rFonts w:hint="eastAsia" w:ascii="宋体" w:hAnsi="宋体" w:eastAsia="宋体"/>
                <w:kern w:val="0"/>
                <w:szCs w:val="21"/>
                <w:lang w:bidi="ar"/>
              </w:rPr>
              <w:t>1200</w:t>
            </w:r>
          </w:p>
        </w:tc>
        <w:tc>
          <w:tcPr>
            <w:tcW w:w="413" w:type="pct"/>
            <w:vAlign w:val="center"/>
          </w:tcPr>
          <w:p w14:paraId="70FA9D16">
            <w:pPr>
              <w:jc w:val="center"/>
              <w:rPr>
                <w:rFonts w:ascii="宋体" w:hAnsi="宋体" w:eastAsia="宋体"/>
                <w:kern w:val="0"/>
                <w:szCs w:val="21"/>
              </w:rPr>
            </w:pPr>
            <w:r>
              <w:rPr>
                <w:rFonts w:hint="eastAsia" w:ascii="宋体" w:hAnsi="宋体" w:eastAsia="宋体"/>
                <w:kern w:val="0"/>
                <w:szCs w:val="21"/>
              </w:rPr>
              <w:t>县住建局</w:t>
            </w:r>
          </w:p>
        </w:tc>
      </w:tr>
      <w:tr w14:paraId="7DEC5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 w:type="pct"/>
            <w:shd w:val="clear" w:color="auto" w:fill="auto"/>
            <w:vAlign w:val="center"/>
          </w:tcPr>
          <w:p w14:paraId="37BCDF15">
            <w:pPr>
              <w:jc w:val="center"/>
              <w:textAlignment w:val="center"/>
              <w:rPr>
                <w:rFonts w:ascii="宋体" w:hAnsi="宋体" w:eastAsia="宋体"/>
                <w:color w:val="000000"/>
                <w:kern w:val="0"/>
                <w:sz w:val="22"/>
                <w:lang w:bidi="ar"/>
              </w:rPr>
            </w:pPr>
            <w:r>
              <w:rPr>
                <w:rFonts w:hint="eastAsia" w:ascii="宋体" w:hAnsi="宋体" w:eastAsia="宋体"/>
                <w:color w:val="000000"/>
                <w:kern w:val="0"/>
                <w:sz w:val="22"/>
                <w:lang w:bidi="ar"/>
              </w:rPr>
              <w:t>16</w:t>
            </w:r>
          </w:p>
        </w:tc>
        <w:tc>
          <w:tcPr>
            <w:tcW w:w="741" w:type="pct"/>
            <w:shd w:val="clear" w:color="000000" w:fill="FFFFFF"/>
            <w:vAlign w:val="center"/>
          </w:tcPr>
          <w:p w14:paraId="63C704CA">
            <w:pPr>
              <w:jc w:val="center"/>
              <w:textAlignment w:val="center"/>
              <w:rPr>
                <w:rFonts w:ascii="宋体" w:hAnsi="宋体" w:eastAsia="宋体"/>
                <w:kern w:val="0"/>
                <w:szCs w:val="21"/>
                <w:lang w:bidi="ar"/>
              </w:rPr>
            </w:pPr>
            <w:r>
              <w:rPr>
                <w:rFonts w:hint="eastAsia" w:ascii="宋体" w:hAnsi="宋体" w:eastAsia="宋体"/>
                <w:kern w:val="0"/>
                <w:szCs w:val="21"/>
                <w:lang w:bidi="ar"/>
              </w:rPr>
              <w:t>昌都市洛隆县雨水管网建设项目</w:t>
            </w:r>
          </w:p>
        </w:tc>
        <w:tc>
          <w:tcPr>
            <w:tcW w:w="350" w:type="pct"/>
            <w:shd w:val="clear" w:color="000000" w:fill="FFFFFF"/>
            <w:vAlign w:val="center"/>
          </w:tcPr>
          <w:p w14:paraId="650FA341">
            <w:pPr>
              <w:jc w:val="center"/>
              <w:textAlignment w:val="center"/>
              <w:rPr>
                <w:rFonts w:ascii="宋体" w:hAnsi="宋体" w:eastAsia="宋体"/>
                <w:kern w:val="0"/>
                <w:szCs w:val="21"/>
                <w:lang w:bidi="ar"/>
              </w:rPr>
            </w:pPr>
            <w:r>
              <w:rPr>
                <w:rFonts w:hint="eastAsia" w:ascii="宋体" w:hAnsi="宋体" w:eastAsia="宋体"/>
                <w:kern w:val="0"/>
                <w:szCs w:val="21"/>
                <w:lang w:bidi="ar"/>
              </w:rPr>
              <w:t>新建</w:t>
            </w:r>
          </w:p>
        </w:tc>
        <w:tc>
          <w:tcPr>
            <w:tcW w:w="1935" w:type="pct"/>
            <w:shd w:val="clear" w:color="000000" w:fill="FFFFFF"/>
            <w:vAlign w:val="center"/>
          </w:tcPr>
          <w:p w14:paraId="23F6E7B5">
            <w:pPr>
              <w:jc w:val="center"/>
              <w:textAlignment w:val="center"/>
              <w:rPr>
                <w:rFonts w:ascii="宋体" w:hAnsi="宋体" w:eastAsia="宋体"/>
                <w:kern w:val="0"/>
                <w:szCs w:val="21"/>
                <w:lang w:bidi="ar"/>
              </w:rPr>
            </w:pPr>
            <w:r>
              <w:rPr>
                <w:rFonts w:hint="eastAsia" w:ascii="宋体" w:hAnsi="宋体" w:eastAsia="宋体"/>
                <w:kern w:val="0"/>
                <w:szCs w:val="21"/>
                <w:lang w:bidi="ar"/>
              </w:rPr>
              <w:t>新建雨水管网2公里及其配套附属设施（含路面破除及恢复）。</w:t>
            </w:r>
          </w:p>
        </w:tc>
        <w:tc>
          <w:tcPr>
            <w:tcW w:w="458" w:type="pct"/>
            <w:vAlign w:val="center"/>
          </w:tcPr>
          <w:p w14:paraId="5223BE3B">
            <w:pPr>
              <w:jc w:val="center"/>
              <w:rPr>
                <w:rFonts w:ascii="Times New Roman" w:hAnsi="Times New Roman" w:eastAsia="宋体" w:cs="Times New Roman"/>
                <w:kern w:val="0"/>
                <w:szCs w:val="21"/>
              </w:rPr>
            </w:pPr>
            <w:r>
              <w:rPr>
                <w:rFonts w:ascii="Times New Roman" w:hAnsi="Times New Roman" w:eastAsia="宋体" w:cs="Times New Roman"/>
                <w:kern w:val="0"/>
                <w:szCs w:val="21"/>
              </w:rPr>
              <w:t>2022~2025</w:t>
            </w:r>
          </w:p>
        </w:tc>
        <w:tc>
          <w:tcPr>
            <w:tcW w:w="507" w:type="pct"/>
            <w:vAlign w:val="center"/>
          </w:tcPr>
          <w:p w14:paraId="4045AF1B">
            <w:pPr>
              <w:snapToGrid w:val="0"/>
              <w:jc w:val="center"/>
              <w:rPr>
                <w:rFonts w:ascii="宋体" w:hAnsi="宋体" w:eastAsia="宋体"/>
                <w:kern w:val="0"/>
                <w:szCs w:val="21"/>
              </w:rPr>
            </w:pPr>
            <w:r>
              <w:rPr>
                <w:rFonts w:hint="eastAsia" w:ascii="宋体" w:hAnsi="宋体" w:eastAsia="宋体"/>
                <w:kern w:val="0"/>
                <w:szCs w:val="21"/>
              </w:rPr>
              <w:t>县城</w:t>
            </w:r>
          </w:p>
        </w:tc>
        <w:tc>
          <w:tcPr>
            <w:tcW w:w="366" w:type="pct"/>
            <w:noWrap/>
            <w:vAlign w:val="center"/>
          </w:tcPr>
          <w:p w14:paraId="4C5B7833">
            <w:pPr>
              <w:jc w:val="center"/>
              <w:textAlignment w:val="center"/>
              <w:rPr>
                <w:rFonts w:ascii="宋体" w:hAnsi="宋体" w:eastAsia="宋体"/>
                <w:kern w:val="0"/>
                <w:szCs w:val="21"/>
                <w:lang w:bidi="ar"/>
              </w:rPr>
            </w:pPr>
            <w:r>
              <w:rPr>
                <w:rFonts w:hint="eastAsia" w:ascii="宋体" w:hAnsi="宋体" w:eastAsia="宋体"/>
                <w:kern w:val="0"/>
                <w:szCs w:val="21"/>
                <w:lang w:bidi="ar"/>
              </w:rPr>
              <w:t>1000</w:t>
            </w:r>
          </w:p>
        </w:tc>
        <w:tc>
          <w:tcPr>
            <w:tcW w:w="413" w:type="pct"/>
            <w:vAlign w:val="center"/>
          </w:tcPr>
          <w:p w14:paraId="6C1F0AC0">
            <w:pPr>
              <w:jc w:val="center"/>
              <w:rPr>
                <w:rFonts w:ascii="宋体" w:hAnsi="宋体" w:eastAsia="宋体"/>
                <w:kern w:val="0"/>
                <w:szCs w:val="21"/>
              </w:rPr>
            </w:pPr>
            <w:r>
              <w:rPr>
                <w:rFonts w:hint="eastAsia" w:ascii="宋体" w:hAnsi="宋体" w:eastAsia="宋体"/>
                <w:kern w:val="0"/>
                <w:szCs w:val="21"/>
              </w:rPr>
              <w:t>县住建局</w:t>
            </w:r>
          </w:p>
        </w:tc>
      </w:tr>
      <w:tr w14:paraId="456EB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 w:type="pct"/>
            <w:shd w:val="clear" w:color="auto" w:fill="auto"/>
            <w:vAlign w:val="center"/>
          </w:tcPr>
          <w:p w14:paraId="6F4065B3">
            <w:pPr>
              <w:jc w:val="center"/>
              <w:textAlignment w:val="center"/>
              <w:rPr>
                <w:rFonts w:ascii="宋体" w:hAnsi="宋体" w:eastAsia="宋体"/>
                <w:color w:val="000000"/>
                <w:kern w:val="0"/>
                <w:sz w:val="22"/>
                <w:lang w:bidi="ar"/>
              </w:rPr>
            </w:pPr>
            <w:r>
              <w:rPr>
                <w:rFonts w:hint="eastAsia" w:ascii="宋体" w:hAnsi="宋体" w:eastAsia="宋体"/>
                <w:color w:val="000000"/>
                <w:kern w:val="0"/>
                <w:sz w:val="22"/>
                <w:lang w:bidi="ar"/>
              </w:rPr>
              <w:t>17</w:t>
            </w:r>
          </w:p>
        </w:tc>
        <w:tc>
          <w:tcPr>
            <w:tcW w:w="741" w:type="pct"/>
            <w:shd w:val="clear" w:color="000000" w:fill="FFFFFF"/>
            <w:vAlign w:val="center"/>
          </w:tcPr>
          <w:p w14:paraId="148A6BF5">
            <w:pPr>
              <w:jc w:val="center"/>
              <w:textAlignment w:val="center"/>
              <w:rPr>
                <w:rFonts w:ascii="宋体" w:hAnsi="宋体" w:eastAsia="宋体"/>
                <w:kern w:val="0"/>
                <w:szCs w:val="21"/>
                <w:lang w:bidi="ar"/>
              </w:rPr>
            </w:pPr>
            <w:r>
              <w:rPr>
                <w:rFonts w:hint="eastAsia" w:ascii="宋体" w:hAnsi="宋体" w:eastAsia="宋体"/>
                <w:kern w:val="0"/>
                <w:szCs w:val="21"/>
                <w:lang w:bidi="ar"/>
              </w:rPr>
              <w:t>昌都市洛隆县城市公园（湿地）工程</w:t>
            </w:r>
          </w:p>
        </w:tc>
        <w:tc>
          <w:tcPr>
            <w:tcW w:w="350" w:type="pct"/>
            <w:shd w:val="clear" w:color="000000" w:fill="FFFFFF"/>
            <w:vAlign w:val="center"/>
          </w:tcPr>
          <w:p w14:paraId="1D5C4716">
            <w:pPr>
              <w:jc w:val="center"/>
              <w:textAlignment w:val="center"/>
              <w:rPr>
                <w:rFonts w:ascii="宋体" w:hAnsi="宋体" w:eastAsia="宋体"/>
                <w:kern w:val="0"/>
                <w:szCs w:val="21"/>
                <w:lang w:bidi="ar"/>
              </w:rPr>
            </w:pPr>
            <w:r>
              <w:rPr>
                <w:rFonts w:hint="eastAsia" w:ascii="宋体" w:hAnsi="宋体" w:eastAsia="宋体"/>
                <w:kern w:val="0"/>
                <w:szCs w:val="21"/>
                <w:lang w:bidi="ar"/>
              </w:rPr>
              <w:t>新建</w:t>
            </w:r>
          </w:p>
        </w:tc>
        <w:tc>
          <w:tcPr>
            <w:tcW w:w="1935" w:type="pct"/>
            <w:shd w:val="clear" w:color="000000" w:fill="FFFFFF"/>
            <w:vAlign w:val="center"/>
          </w:tcPr>
          <w:p w14:paraId="781FC97E">
            <w:pPr>
              <w:jc w:val="center"/>
              <w:textAlignment w:val="center"/>
              <w:rPr>
                <w:rFonts w:ascii="宋体" w:hAnsi="宋体" w:eastAsia="宋体"/>
                <w:kern w:val="0"/>
                <w:szCs w:val="21"/>
                <w:lang w:bidi="ar"/>
              </w:rPr>
            </w:pPr>
            <w:r>
              <w:rPr>
                <w:rFonts w:hint="eastAsia" w:ascii="宋体" w:hAnsi="宋体" w:eastAsia="宋体"/>
                <w:kern w:val="0"/>
                <w:szCs w:val="21"/>
                <w:lang w:bidi="ar"/>
              </w:rPr>
              <w:t>公园配套设施，10000平方米</w:t>
            </w:r>
          </w:p>
        </w:tc>
        <w:tc>
          <w:tcPr>
            <w:tcW w:w="458" w:type="pct"/>
            <w:vAlign w:val="center"/>
          </w:tcPr>
          <w:p w14:paraId="7681D0F2">
            <w:pPr>
              <w:jc w:val="center"/>
              <w:rPr>
                <w:rFonts w:ascii="Times New Roman" w:hAnsi="Times New Roman" w:eastAsia="宋体" w:cs="Times New Roman"/>
                <w:kern w:val="0"/>
                <w:szCs w:val="21"/>
              </w:rPr>
            </w:pPr>
            <w:r>
              <w:rPr>
                <w:rFonts w:ascii="Times New Roman" w:hAnsi="Times New Roman" w:eastAsia="宋体" w:cs="Times New Roman"/>
                <w:kern w:val="0"/>
                <w:szCs w:val="21"/>
              </w:rPr>
              <w:t>2022~2025</w:t>
            </w:r>
          </w:p>
        </w:tc>
        <w:tc>
          <w:tcPr>
            <w:tcW w:w="507" w:type="pct"/>
            <w:vAlign w:val="center"/>
          </w:tcPr>
          <w:p w14:paraId="6D39BC96">
            <w:pPr>
              <w:snapToGrid w:val="0"/>
              <w:jc w:val="center"/>
              <w:rPr>
                <w:rFonts w:ascii="宋体" w:hAnsi="宋体" w:eastAsia="宋体"/>
                <w:kern w:val="0"/>
                <w:szCs w:val="21"/>
              </w:rPr>
            </w:pPr>
            <w:r>
              <w:rPr>
                <w:rFonts w:hint="eastAsia" w:ascii="宋体" w:hAnsi="宋体" w:eastAsia="宋体"/>
                <w:kern w:val="0"/>
                <w:szCs w:val="21"/>
              </w:rPr>
              <w:t>县城</w:t>
            </w:r>
          </w:p>
        </w:tc>
        <w:tc>
          <w:tcPr>
            <w:tcW w:w="366" w:type="pct"/>
            <w:noWrap/>
            <w:vAlign w:val="center"/>
          </w:tcPr>
          <w:p w14:paraId="5B04BD41">
            <w:pPr>
              <w:jc w:val="center"/>
              <w:textAlignment w:val="center"/>
              <w:rPr>
                <w:rFonts w:ascii="宋体" w:hAnsi="宋体" w:eastAsia="宋体"/>
                <w:kern w:val="0"/>
                <w:szCs w:val="21"/>
                <w:lang w:bidi="ar"/>
              </w:rPr>
            </w:pPr>
            <w:r>
              <w:rPr>
                <w:rFonts w:hint="eastAsia" w:ascii="宋体" w:hAnsi="宋体" w:eastAsia="宋体"/>
                <w:kern w:val="0"/>
                <w:szCs w:val="21"/>
                <w:lang w:bidi="ar"/>
              </w:rPr>
              <w:t>2000</w:t>
            </w:r>
          </w:p>
        </w:tc>
        <w:tc>
          <w:tcPr>
            <w:tcW w:w="413" w:type="pct"/>
            <w:vAlign w:val="center"/>
          </w:tcPr>
          <w:p w14:paraId="5FDD3CB4">
            <w:pPr>
              <w:jc w:val="center"/>
              <w:rPr>
                <w:rFonts w:ascii="宋体" w:hAnsi="宋体" w:eastAsia="宋体"/>
                <w:kern w:val="0"/>
                <w:szCs w:val="21"/>
              </w:rPr>
            </w:pPr>
            <w:r>
              <w:rPr>
                <w:rFonts w:hint="eastAsia" w:ascii="宋体" w:hAnsi="宋体" w:eastAsia="宋体"/>
                <w:kern w:val="0"/>
                <w:szCs w:val="21"/>
              </w:rPr>
              <w:t>县住建局</w:t>
            </w:r>
          </w:p>
        </w:tc>
      </w:tr>
      <w:tr w14:paraId="03CFB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 w:type="pct"/>
            <w:shd w:val="clear" w:color="auto" w:fill="auto"/>
            <w:vAlign w:val="center"/>
          </w:tcPr>
          <w:p w14:paraId="43ED1D6B">
            <w:pPr>
              <w:jc w:val="center"/>
              <w:textAlignment w:val="center"/>
              <w:rPr>
                <w:rFonts w:ascii="宋体" w:hAnsi="宋体" w:eastAsia="宋体"/>
                <w:color w:val="000000"/>
                <w:kern w:val="0"/>
                <w:sz w:val="22"/>
                <w:lang w:bidi="ar"/>
              </w:rPr>
            </w:pPr>
            <w:r>
              <w:rPr>
                <w:rFonts w:hint="eastAsia" w:ascii="宋体" w:hAnsi="宋体" w:eastAsia="宋体"/>
                <w:color w:val="000000"/>
                <w:kern w:val="0"/>
                <w:sz w:val="22"/>
                <w:lang w:bidi="ar"/>
              </w:rPr>
              <w:t>18</w:t>
            </w:r>
          </w:p>
        </w:tc>
        <w:tc>
          <w:tcPr>
            <w:tcW w:w="741" w:type="pct"/>
            <w:shd w:val="clear" w:color="000000" w:fill="FFFFFF"/>
            <w:vAlign w:val="center"/>
          </w:tcPr>
          <w:p w14:paraId="7A8E73B9">
            <w:pPr>
              <w:jc w:val="center"/>
              <w:textAlignment w:val="center"/>
              <w:rPr>
                <w:rFonts w:ascii="宋体" w:hAnsi="宋体" w:eastAsia="宋体"/>
                <w:kern w:val="0"/>
                <w:szCs w:val="21"/>
                <w:lang w:bidi="ar"/>
              </w:rPr>
            </w:pPr>
            <w:r>
              <w:rPr>
                <w:rFonts w:hint="eastAsia" w:ascii="宋体" w:hAnsi="宋体" w:eastAsia="宋体"/>
                <w:kern w:val="0"/>
                <w:szCs w:val="21"/>
                <w:lang w:bidi="ar"/>
              </w:rPr>
              <w:t>昌都市洛隆县县城园林绿化工程</w:t>
            </w:r>
          </w:p>
        </w:tc>
        <w:tc>
          <w:tcPr>
            <w:tcW w:w="350" w:type="pct"/>
            <w:shd w:val="clear" w:color="000000" w:fill="FFFFFF"/>
            <w:vAlign w:val="center"/>
          </w:tcPr>
          <w:p w14:paraId="45FA88F3">
            <w:pPr>
              <w:jc w:val="center"/>
              <w:textAlignment w:val="center"/>
              <w:rPr>
                <w:rFonts w:ascii="宋体" w:hAnsi="宋体" w:eastAsia="宋体"/>
                <w:kern w:val="0"/>
                <w:szCs w:val="21"/>
                <w:lang w:bidi="ar"/>
              </w:rPr>
            </w:pPr>
            <w:r>
              <w:rPr>
                <w:rFonts w:hint="eastAsia" w:ascii="宋体" w:hAnsi="宋体" w:eastAsia="宋体"/>
                <w:kern w:val="0"/>
                <w:szCs w:val="21"/>
                <w:lang w:bidi="ar"/>
              </w:rPr>
              <w:t>新建</w:t>
            </w:r>
          </w:p>
        </w:tc>
        <w:tc>
          <w:tcPr>
            <w:tcW w:w="1935" w:type="pct"/>
            <w:shd w:val="clear" w:color="000000" w:fill="FFFFFF"/>
            <w:vAlign w:val="center"/>
          </w:tcPr>
          <w:p w14:paraId="3764BF26">
            <w:pPr>
              <w:jc w:val="center"/>
              <w:textAlignment w:val="center"/>
              <w:rPr>
                <w:rFonts w:ascii="宋体" w:hAnsi="宋体" w:eastAsia="宋体"/>
                <w:kern w:val="0"/>
                <w:szCs w:val="21"/>
                <w:lang w:bidi="ar"/>
              </w:rPr>
            </w:pPr>
            <w:r>
              <w:rPr>
                <w:rFonts w:hint="eastAsia" w:ascii="宋体" w:hAnsi="宋体" w:eastAsia="宋体"/>
                <w:kern w:val="0"/>
                <w:szCs w:val="21"/>
                <w:lang w:bidi="ar"/>
              </w:rPr>
              <w:t>总占地面积10000平方米，绿化，亮化等附属设施</w:t>
            </w:r>
          </w:p>
        </w:tc>
        <w:tc>
          <w:tcPr>
            <w:tcW w:w="458" w:type="pct"/>
            <w:vAlign w:val="center"/>
          </w:tcPr>
          <w:p w14:paraId="2F05EBB9">
            <w:pPr>
              <w:jc w:val="center"/>
              <w:rPr>
                <w:rFonts w:ascii="Times New Roman" w:hAnsi="Times New Roman" w:eastAsia="宋体" w:cs="Times New Roman"/>
                <w:kern w:val="0"/>
                <w:szCs w:val="21"/>
              </w:rPr>
            </w:pPr>
            <w:r>
              <w:rPr>
                <w:rFonts w:ascii="Times New Roman" w:hAnsi="Times New Roman" w:eastAsia="宋体" w:cs="Times New Roman"/>
                <w:kern w:val="0"/>
                <w:szCs w:val="21"/>
              </w:rPr>
              <w:t>2022~2025</w:t>
            </w:r>
          </w:p>
        </w:tc>
        <w:tc>
          <w:tcPr>
            <w:tcW w:w="507" w:type="pct"/>
            <w:vAlign w:val="center"/>
          </w:tcPr>
          <w:p w14:paraId="1130E6A9">
            <w:pPr>
              <w:snapToGrid w:val="0"/>
              <w:jc w:val="center"/>
              <w:rPr>
                <w:rFonts w:ascii="宋体" w:hAnsi="宋体" w:eastAsia="宋体"/>
                <w:kern w:val="0"/>
                <w:szCs w:val="21"/>
              </w:rPr>
            </w:pPr>
            <w:r>
              <w:rPr>
                <w:rFonts w:hint="eastAsia" w:ascii="宋体" w:hAnsi="宋体" w:eastAsia="宋体"/>
                <w:kern w:val="0"/>
                <w:szCs w:val="21"/>
              </w:rPr>
              <w:t>县城</w:t>
            </w:r>
          </w:p>
        </w:tc>
        <w:tc>
          <w:tcPr>
            <w:tcW w:w="366" w:type="pct"/>
            <w:noWrap/>
            <w:vAlign w:val="center"/>
          </w:tcPr>
          <w:p w14:paraId="1C0D9BB1">
            <w:pPr>
              <w:jc w:val="center"/>
              <w:textAlignment w:val="center"/>
              <w:rPr>
                <w:rFonts w:ascii="宋体" w:hAnsi="宋体" w:eastAsia="宋体"/>
                <w:kern w:val="0"/>
                <w:szCs w:val="21"/>
                <w:lang w:bidi="ar"/>
              </w:rPr>
            </w:pPr>
            <w:r>
              <w:rPr>
                <w:rFonts w:hint="eastAsia" w:ascii="宋体" w:hAnsi="宋体" w:eastAsia="宋体"/>
                <w:kern w:val="0"/>
                <w:szCs w:val="21"/>
                <w:lang w:bidi="ar"/>
              </w:rPr>
              <w:t>1500.00</w:t>
            </w:r>
          </w:p>
        </w:tc>
        <w:tc>
          <w:tcPr>
            <w:tcW w:w="413" w:type="pct"/>
            <w:vAlign w:val="center"/>
          </w:tcPr>
          <w:p w14:paraId="511A94EA">
            <w:pPr>
              <w:jc w:val="center"/>
              <w:rPr>
                <w:rFonts w:ascii="宋体" w:hAnsi="宋体" w:eastAsia="宋体"/>
                <w:kern w:val="0"/>
                <w:szCs w:val="21"/>
              </w:rPr>
            </w:pPr>
            <w:r>
              <w:rPr>
                <w:rFonts w:hint="eastAsia" w:ascii="宋体" w:hAnsi="宋体" w:eastAsia="宋体"/>
                <w:kern w:val="0"/>
                <w:szCs w:val="21"/>
              </w:rPr>
              <w:t>县住建局</w:t>
            </w:r>
          </w:p>
        </w:tc>
      </w:tr>
      <w:tr w14:paraId="16037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 w:type="pct"/>
            <w:shd w:val="clear" w:color="auto" w:fill="auto"/>
            <w:vAlign w:val="center"/>
          </w:tcPr>
          <w:p w14:paraId="52ACDE68">
            <w:pPr>
              <w:jc w:val="center"/>
              <w:textAlignment w:val="center"/>
              <w:rPr>
                <w:rFonts w:ascii="宋体" w:hAnsi="宋体" w:eastAsia="宋体"/>
                <w:color w:val="000000"/>
                <w:kern w:val="0"/>
                <w:sz w:val="22"/>
                <w:lang w:bidi="ar"/>
              </w:rPr>
            </w:pPr>
            <w:r>
              <w:rPr>
                <w:rFonts w:hint="eastAsia" w:ascii="宋体" w:hAnsi="宋体" w:eastAsia="宋体"/>
                <w:color w:val="000000"/>
                <w:kern w:val="0"/>
                <w:sz w:val="22"/>
                <w:lang w:bidi="ar"/>
              </w:rPr>
              <w:t>19</w:t>
            </w:r>
          </w:p>
        </w:tc>
        <w:tc>
          <w:tcPr>
            <w:tcW w:w="741" w:type="pct"/>
            <w:shd w:val="clear" w:color="000000" w:fill="FFFFFF"/>
            <w:vAlign w:val="center"/>
          </w:tcPr>
          <w:p w14:paraId="4CDD2056">
            <w:pPr>
              <w:jc w:val="center"/>
              <w:textAlignment w:val="center"/>
              <w:rPr>
                <w:rFonts w:ascii="宋体" w:hAnsi="宋体" w:eastAsia="宋体"/>
                <w:kern w:val="0"/>
                <w:szCs w:val="21"/>
                <w:lang w:bidi="ar"/>
              </w:rPr>
            </w:pPr>
            <w:r>
              <w:rPr>
                <w:rFonts w:hint="eastAsia" w:ascii="宋体" w:hAnsi="宋体" w:eastAsia="宋体"/>
                <w:kern w:val="0"/>
                <w:szCs w:val="21"/>
                <w:lang w:bidi="ar"/>
              </w:rPr>
              <w:t>昌都市洛隆县扎纳陇园林绿化工程</w:t>
            </w:r>
          </w:p>
        </w:tc>
        <w:tc>
          <w:tcPr>
            <w:tcW w:w="350" w:type="pct"/>
            <w:shd w:val="clear" w:color="000000" w:fill="FFFFFF"/>
            <w:vAlign w:val="center"/>
          </w:tcPr>
          <w:p w14:paraId="5A2E53F0">
            <w:pPr>
              <w:jc w:val="center"/>
              <w:textAlignment w:val="center"/>
              <w:rPr>
                <w:rFonts w:ascii="宋体" w:hAnsi="宋体" w:eastAsia="宋体"/>
                <w:kern w:val="0"/>
                <w:szCs w:val="21"/>
                <w:lang w:bidi="ar"/>
              </w:rPr>
            </w:pPr>
            <w:r>
              <w:rPr>
                <w:rFonts w:hint="eastAsia" w:ascii="宋体" w:hAnsi="宋体" w:eastAsia="宋体"/>
                <w:kern w:val="0"/>
                <w:szCs w:val="21"/>
                <w:lang w:bidi="ar"/>
              </w:rPr>
              <w:t>新建</w:t>
            </w:r>
          </w:p>
        </w:tc>
        <w:tc>
          <w:tcPr>
            <w:tcW w:w="1935" w:type="pct"/>
            <w:shd w:val="clear" w:color="000000" w:fill="FFFFFF"/>
            <w:vAlign w:val="center"/>
          </w:tcPr>
          <w:p w14:paraId="3E571014">
            <w:pPr>
              <w:jc w:val="center"/>
              <w:textAlignment w:val="center"/>
              <w:rPr>
                <w:rFonts w:ascii="宋体" w:hAnsi="宋体" w:eastAsia="宋体"/>
                <w:kern w:val="0"/>
                <w:szCs w:val="21"/>
                <w:lang w:bidi="ar"/>
              </w:rPr>
            </w:pPr>
            <w:r>
              <w:rPr>
                <w:rFonts w:hint="eastAsia" w:ascii="宋体" w:hAnsi="宋体" w:eastAsia="宋体"/>
                <w:kern w:val="0"/>
                <w:szCs w:val="21"/>
                <w:lang w:bidi="ar"/>
              </w:rPr>
              <w:t>总占地面积10000平方米，绿化，亮化等附属设施</w:t>
            </w:r>
          </w:p>
        </w:tc>
        <w:tc>
          <w:tcPr>
            <w:tcW w:w="458" w:type="pct"/>
            <w:vAlign w:val="center"/>
          </w:tcPr>
          <w:p w14:paraId="2D10ACB4">
            <w:pPr>
              <w:jc w:val="center"/>
              <w:rPr>
                <w:rFonts w:ascii="Times New Roman" w:hAnsi="Times New Roman" w:eastAsia="宋体" w:cs="Times New Roman"/>
                <w:kern w:val="0"/>
                <w:szCs w:val="21"/>
              </w:rPr>
            </w:pPr>
            <w:r>
              <w:rPr>
                <w:rFonts w:ascii="Times New Roman" w:hAnsi="Times New Roman" w:eastAsia="宋体" w:cs="Times New Roman"/>
                <w:kern w:val="0"/>
                <w:szCs w:val="21"/>
              </w:rPr>
              <w:t>2022~2025</w:t>
            </w:r>
          </w:p>
        </w:tc>
        <w:tc>
          <w:tcPr>
            <w:tcW w:w="507" w:type="pct"/>
            <w:vAlign w:val="center"/>
          </w:tcPr>
          <w:p w14:paraId="73BE3C45">
            <w:pPr>
              <w:snapToGrid w:val="0"/>
              <w:jc w:val="center"/>
              <w:rPr>
                <w:rFonts w:ascii="宋体" w:hAnsi="宋体" w:eastAsia="宋体"/>
                <w:kern w:val="0"/>
                <w:szCs w:val="21"/>
              </w:rPr>
            </w:pPr>
            <w:r>
              <w:rPr>
                <w:rFonts w:hint="eastAsia" w:ascii="宋体" w:hAnsi="宋体" w:eastAsia="宋体"/>
                <w:kern w:val="0"/>
                <w:szCs w:val="21"/>
                <w:lang w:bidi="ar"/>
              </w:rPr>
              <w:t>扎纳陇</w:t>
            </w:r>
          </w:p>
        </w:tc>
        <w:tc>
          <w:tcPr>
            <w:tcW w:w="366" w:type="pct"/>
            <w:noWrap/>
            <w:vAlign w:val="center"/>
          </w:tcPr>
          <w:p w14:paraId="641B1CD3">
            <w:pPr>
              <w:jc w:val="center"/>
              <w:textAlignment w:val="center"/>
              <w:rPr>
                <w:rFonts w:ascii="宋体" w:hAnsi="宋体" w:eastAsia="宋体"/>
                <w:kern w:val="0"/>
                <w:szCs w:val="21"/>
                <w:lang w:bidi="ar"/>
              </w:rPr>
            </w:pPr>
            <w:r>
              <w:rPr>
                <w:rFonts w:hint="eastAsia" w:ascii="宋体" w:hAnsi="宋体" w:eastAsia="宋体"/>
                <w:kern w:val="0"/>
                <w:szCs w:val="21"/>
                <w:lang w:bidi="ar"/>
              </w:rPr>
              <w:t>1600.00</w:t>
            </w:r>
          </w:p>
        </w:tc>
        <w:tc>
          <w:tcPr>
            <w:tcW w:w="413" w:type="pct"/>
            <w:vAlign w:val="center"/>
          </w:tcPr>
          <w:p w14:paraId="7F2DAAEF">
            <w:pPr>
              <w:jc w:val="center"/>
              <w:rPr>
                <w:rFonts w:ascii="宋体" w:hAnsi="宋体" w:eastAsia="宋体"/>
                <w:kern w:val="0"/>
                <w:szCs w:val="21"/>
              </w:rPr>
            </w:pPr>
            <w:r>
              <w:rPr>
                <w:rFonts w:hint="eastAsia" w:ascii="宋体" w:hAnsi="宋体" w:eastAsia="宋体"/>
                <w:kern w:val="0"/>
                <w:szCs w:val="21"/>
              </w:rPr>
              <w:t>县住建局</w:t>
            </w:r>
          </w:p>
        </w:tc>
      </w:tr>
      <w:tr w14:paraId="418F5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 w:type="pct"/>
            <w:shd w:val="clear" w:color="auto" w:fill="auto"/>
            <w:vAlign w:val="center"/>
          </w:tcPr>
          <w:p w14:paraId="1EC54C67">
            <w:pPr>
              <w:jc w:val="center"/>
              <w:textAlignment w:val="center"/>
              <w:rPr>
                <w:rFonts w:ascii="宋体" w:hAnsi="宋体" w:eastAsia="宋体"/>
                <w:color w:val="000000"/>
                <w:kern w:val="0"/>
                <w:sz w:val="22"/>
                <w:lang w:bidi="ar"/>
              </w:rPr>
            </w:pPr>
            <w:r>
              <w:rPr>
                <w:rFonts w:hint="eastAsia" w:ascii="宋体" w:hAnsi="宋体" w:eastAsia="宋体"/>
                <w:color w:val="000000"/>
                <w:kern w:val="0"/>
                <w:sz w:val="22"/>
                <w:lang w:bidi="ar"/>
              </w:rPr>
              <w:t>20</w:t>
            </w:r>
          </w:p>
        </w:tc>
        <w:tc>
          <w:tcPr>
            <w:tcW w:w="741" w:type="pct"/>
            <w:shd w:val="clear" w:color="000000" w:fill="FFFFFF"/>
            <w:vAlign w:val="center"/>
          </w:tcPr>
          <w:p w14:paraId="1210D381">
            <w:pPr>
              <w:jc w:val="center"/>
              <w:textAlignment w:val="center"/>
              <w:rPr>
                <w:rFonts w:ascii="宋体" w:hAnsi="宋体" w:eastAsia="宋体"/>
                <w:kern w:val="0"/>
                <w:szCs w:val="21"/>
                <w:lang w:bidi="ar"/>
              </w:rPr>
            </w:pPr>
            <w:r>
              <w:rPr>
                <w:rFonts w:hint="eastAsia" w:ascii="宋体" w:hAnsi="宋体" w:eastAsia="宋体"/>
                <w:kern w:val="0"/>
                <w:szCs w:val="21"/>
                <w:lang w:bidi="ar"/>
              </w:rPr>
              <w:t>昌都市洛隆县十个美丽宜居村庄建设</w:t>
            </w:r>
          </w:p>
        </w:tc>
        <w:tc>
          <w:tcPr>
            <w:tcW w:w="350" w:type="pct"/>
            <w:shd w:val="clear" w:color="000000" w:fill="FFFFFF"/>
            <w:vAlign w:val="center"/>
          </w:tcPr>
          <w:p w14:paraId="2A8EA54D">
            <w:pPr>
              <w:jc w:val="center"/>
              <w:textAlignment w:val="center"/>
              <w:rPr>
                <w:rFonts w:ascii="宋体" w:hAnsi="宋体" w:eastAsia="宋体"/>
                <w:kern w:val="0"/>
                <w:szCs w:val="21"/>
                <w:lang w:bidi="ar"/>
              </w:rPr>
            </w:pPr>
            <w:r>
              <w:rPr>
                <w:rFonts w:hint="eastAsia" w:ascii="宋体" w:hAnsi="宋体" w:eastAsia="宋体"/>
                <w:kern w:val="0"/>
                <w:szCs w:val="21"/>
                <w:lang w:bidi="ar"/>
              </w:rPr>
              <w:t>新建</w:t>
            </w:r>
          </w:p>
        </w:tc>
        <w:tc>
          <w:tcPr>
            <w:tcW w:w="1935" w:type="pct"/>
            <w:shd w:val="clear" w:color="000000" w:fill="FFFFFF"/>
            <w:vAlign w:val="center"/>
          </w:tcPr>
          <w:p w14:paraId="3D683F9C">
            <w:pPr>
              <w:jc w:val="center"/>
              <w:textAlignment w:val="center"/>
              <w:rPr>
                <w:rFonts w:ascii="宋体" w:hAnsi="宋体" w:eastAsia="宋体"/>
                <w:kern w:val="0"/>
                <w:szCs w:val="21"/>
                <w:lang w:bidi="ar"/>
              </w:rPr>
            </w:pPr>
            <w:r>
              <w:rPr>
                <w:rFonts w:hint="eastAsia" w:ascii="宋体" w:hAnsi="宋体" w:eastAsia="宋体"/>
                <w:kern w:val="0"/>
                <w:szCs w:val="21"/>
                <w:lang w:bidi="ar"/>
              </w:rPr>
              <w:t>十个美丽宜居村庄村级基础设施建设。</w:t>
            </w:r>
          </w:p>
        </w:tc>
        <w:tc>
          <w:tcPr>
            <w:tcW w:w="458" w:type="pct"/>
            <w:vAlign w:val="center"/>
          </w:tcPr>
          <w:p w14:paraId="635D05D5">
            <w:pPr>
              <w:jc w:val="center"/>
              <w:rPr>
                <w:rFonts w:ascii="Times New Roman" w:hAnsi="Times New Roman" w:eastAsia="宋体" w:cs="Times New Roman"/>
                <w:kern w:val="0"/>
                <w:szCs w:val="21"/>
              </w:rPr>
            </w:pPr>
            <w:r>
              <w:rPr>
                <w:rFonts w:ascii="Times New Roman" w:hAnsi="Times New Roman" w:eastAsia="宋体" w:cs="Times New Roman"/>
                <w:kern w:val="0"/>
                <w:szCs w:val="21"/>
              </w:rPr>
              <w:t>2022~2025</w:t>
            </w:r>
          </w:p>
        </w:tc>
        <w:tc>
          <w:tcPr>
            <w:tcW w:w="507" w:type="pct"/>
            <w:vAlign w:val="center"/>
          </w:tcPr>
          <w:p w14:paraId="02B5A522">
            <w:pPr>
              <w:snapToGrid w:val="0"/>
              <w:jc w:val="center"/>
              <w:rPr>
                <w:rFonts w:ascii="宋体" w:hAnsi="宋体" w:eastAsia="宋体"/>
                <w:kern w:val="0"/>
                <w:szCs w:val="21"/>
              </w:rPr>
            </w:pPr>
            <w:r>
              <w:rPr>
                <w:rFonts w:hint="eastAsia" w:ascii="宋体" w:hAnsi="宋体" w:eastAsia="宋体"/>
                <w:kern w:val="0"/>
                <w:szCs w:val="21"/>
              </w:rPr>
              <w:t>县域</w:t>
            </w:r>
          </w:p>
        </w:tc>
        <w:tc>
          <w:tcPr>
            <w:tcW w:w="366" w:type="pct"/>
            <w:noWrap/>
            <w:vAlign w:val="center"/>
          </w:tcPr>
          <w:p w14:paraId="0D8CBA48">
            <w:pPr>
              <w:jc w:val="center"/>
              <w:textAlignment w:val="center"/>
              <w:rPr>
                <w:rFonts w:ascii="宋体" w:hAnsi="宋体" w:eastAsia="宋体"/>
                <w:kern w:val="0"/>
                <w:szCs w:val="21"/>
                <w:lang w:bidi="ar"/>
              </w:rPr>
            </w:pPr>
            <w:r>
              <w:rPr>
                <w:rFonts w:hint="eastAsia" w:ascii="宋体" w:hAnsi="宋体" w:eastAsia="宋体"/>
                <w:kern w:val="0"/>
                <w:szCs w:val="21"/>
                <w:lang w:bidi="ar"/>
              </w:rPr>
              <w:t>13800</w:t>
            </w:r>
          </w:p>
        </w:tc>
        <w:tc>
          <w:tcPr>
            <w:tcW w:w="413" w:type="pct"/>
            <w:vAlign w:val="center"/>
          </w:tcPr>
          <w:p w14:paraId="6AD32716">
            <w:pPr>
              <w:jc w:val="center"/>
              <w:rPr>
                <w:rFonts w:ascii="宋体" w:hAnsi="宋体" w:eastAsia="宋体"/>
                <w:kern w:val="0"/>
                <w:szCs w:val="21"/>
              </w:rPr>
            </w:pPr>
            <w:r>
              <w:rPr>
                <w:rFonts w:hint="eastAsia" w:ascii="宋体" w:hAnsi="宋体" w:eastAsia="宋体"/>
                <w:kern w:val="0"/>
                <w:szCs w:val="21"/>
              </w:rPr>
              <w:t>县住建局</w:t>
            </w:r>
          </w:p>
        </w:tc>
      </w:tr>
      <w:tr w14:paraId="78C44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 w:type="pct"/>
            <w:shd w:val="clear" w:color="auto" w:fill="auto"/>
            <w:vAlign w:val="center"/>
          </w:tcPr>
          <w:p w14:paraId="337E5D4B">
            <w:pPr>
              <w:jc w:val="center"/>
              <w:textAlignment w:val="center"/>
              <w:rPr>
                <w:rFonts w:ascii="宋体" w:hAnsi="宋体" w:eastAsia="宋体"/>
                <w:color w:val="000000"/>
                <w:kern w:val="0"/>
                <w:sz w:val="22"/>
                <w:lang w:bidi="ar"/>
              </w:rPr>
            </w:pPr>
            <w:r>
              <w:rPr>
                <w:rFonts w:hint="eastAsia" w:ascii="宋体" w:hAnsi="宋体" w:eastAsia="宋体"/>
                <w:color w:val="000000"/>
                <w:kern w:val="0"/>
                <w:sz w:val="22"/>
                <w:lang w:bidi="ar"/>
              </w:rPr>
              <w:t>21</w:t>
            </w:r>
          </w:p>
        </w:tc>
        <w:tc>
          <w:tcPr>
            <w:tcW w:w="741" w:type="pct"/>
            <w:shd w:val="clear" w:color="000000" w:fill="FFFFFF"/>
            <w:vAlign w:val="center"/>
          </w:tcPr>
          <w:p w14:paraId="11CDE568">
            <w:pPr>
              <w:jc w:val="center"/>
              <w:textAlignment w:val="center"/>
              <w:rPr>
                <w:rFonts w:ascii="宋体" w:hAnsi="宋体" w:eastAsia="宋体"/>
                <w:szCs w:val="21"/>
              </w:rPr>
            </w:pPr>
            <w:r>
              <w:rPr>
                <w:rFonts w:hint="eastAsia" w:ascii="宋体" w:hAnsi="宋体" w:eastAsia="宋体"/>
                <w:kern w:val="0"/>
                <w:szCs w:val="21"/>
                <w:lang w:bidi="ar"/>
              </w:rPr>
              <w:t>洛隆县县城第二垃圾填埋场</w:t>
            </w:r>
          </w:p>
        </w:tc>
        <w:tc>
          <w:tcPr>
            <w:tcW w:w="350" w:type="pct"/>
            <w:shd w:val="clear" w:color="000000" w:fill="FFFFFF"/>
            <w:vAlign w:val="center"/>
          </w:tcPr>
          <w:p w14:paraId="22E6947C">
            <w:pPr>
              <w:jc w:val="center"/>
              <w:textAlignment w:val="center"/>
              <w:rPr>
                <w:rFonts w:ascii="宋体" w:hAnsi="宋体" w:eastAsia="宋体"/>
                <w:kern w:val="0"/>
                <w:szCs w:val="21"/>
                <w:lang w:bidi="ar"/>
              </w:rPr>
            </w:pPr>
            <w:r>
              <w:rPr>
                <w:rFonts w:hint="eastAsia" w:ascii="宋体" w:hAnsi="宋体" w:eastAsia="宋体"/>
                <w:kern w:val="0"/>
                <w:szCs w:val="21"/>
                <w:lang w:bidi="ar"/>
              </w:rPr>
              <w:t>新建</w:t>
            </w:r>
          </w:p>
        </w:tc>
        <w:tc>
          <w:tcPr>
            <w:tcW w:w="1935" w:type="pct"/>
            <w:shd w:val="clear" w:color="000000" w:fill="FFFFFF"/>
            <w:vAlign w:val="center"/>
          </w:tcPr>
          <w:p w14:paraId="02DB1A63">
            <w:pPr>
              <w:jc w:val="center"/>
              <w:textAlignment w:val="center"/>
              <w:rPr>
                <w:rFonts w:ascii="宋体" w:hAnsi="宋体" w:eastAsia="宋体"/>
                <w:kern w:val="0"/>
                <w:szCs w:val="21"/>
                <w:lang w:bidi="ar"/>
              </w:rPr>
            </w:pPr>
            <w:r>
              <w:rPr>
                <w:rFonts w:hint="eastAsia" w:ascii="宋体" w:hAnsi="宋体" w:eastAsia="宋体"/>
                <w:kern w:val="0"/>
                <w:szCs w:val="21"/>
                <w:lang w:bidi="ar"/>
              </w:rPr>
              <w:t>新建处理规模35立方米/日的生活垃圾填埋场一座，占地面积25000平方米及附属设施</w:t>
            </w:r>
          </w:p>
        </w:tc>
        <w:tc>
          <w:tcPr>
            <w:tcW w:w="458" w:type="pct"/>
            <w:vAlign w:val="center"/>
          </w:tcPr>
          <w:p w14:paraId="2A900A6E">
            <w:pPr>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2022~2023</w:t>
            </w:r>
          </w:p>
        </w:tc>
        <w:tc>
          <w:tcPr>
            <w:tcW w:w="507" w:type="pct"/>
            <w:vAlign w:val="center"/>
          </w:tcPr>
          <w:p w14:paraId="72ECD5DB">
            <w:pPr>
              <w:snapToGrid w:val="0"/>
              <w:jc w:val="center"/>
              <w:rPr>
                <w:rFonts w:ascii="宋体" w:hAnsi="宋体" w:eastAsia="宋体"/>
                <w:kern w:val="0"/>
                <w:szCs w:val="21"/>
              </w:rPr>
            </w:pPr>
            <w:r>
              <w:rPr>
                <w:rFonts w:hint="eastAsia" w:ascii="宋体" w:hAnsi="宋体" w:eastAsia="宋体"/>
                <w:kern w:val="0"/>
                <w:szCs w:val="21"/>
                <w:lang w:bidi="ar"/>
              </w:rPr>
              <w:t>第二垃圾填埋场</w:t>
            </w:r>
          </w:p>
        </w:tc>
        <w:tc>
          <w:tcPr>
            <w:tcW w:w="366" w:type="pct"/>
            <w:noWrap/>
            <w:vAlign w:val="center"/>
          </w:tcPr>
          <w:p w14:paraId="02D536BC">
            <w:pPr>
              <w:jc w:val="center"/>
              <w:textAlignment w:val="center"/>
              <w:rPr>
                <w:rFonts w:ascii="宋体" w:hAnsi="宋体" w:eastAsia="宋体"/>
                <w:kern w:val="0"/>
                <w:szCs w:val="21"/>
                <w:lang w:bidi="ar"/>
              </w:rPr>
            </w:pPr>
            <w:r>
              <w:rPr>
                <w:rFonts w:hint="eastAsia" w:ascii="宋体" w:hAnsi="宋体" w:eastAsia="宋体"/>
                <w:kern w:val="0"/>
                <w:szCs w:val="21"/>
                <w:lang w:bidi="ar"/>
              </w:rPr>
              <w:t>4000</w:t>
            </w:r>
          </w:p>
        </w:tc>
        <w:tc>
          <w:tcPr>
            <w:tcW w:w="413" w:type="pct"/>
            <w:vAlign w:val="center"/>
          </w:tcPr>
          <w:p w14:paraId="48A18DA8">
            <w:pPr>
              <w:jc w:val="center"/>
              <w:rPr>
                <w:rFonts w:ascii="宋体" w:hAnsi="宋体" w:eastAsia="宋体"/>
                <w:kern w:val="0"/>
                <w:szCs w:val="21"/>
              </w:rPr>
            </w:pPr>
            <w:r>
              <w:rPr>
                <w:rFonts w:hint="eastAsia" w:ascii="宋体" w:hAnsi="宋体" w:eastAsia="宋体"/>
                <w:kern w:val="0"/>
                <w:szCs w:val="21"/>
              </w:rPr>
              <w:t>县住建局</w:t>
            </w:r>
          </w:p>
        </w:tc>
      </w:tr>
      <w:tr w14:paraId="45068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 w:type="pct"/>
            <w:shd w:val="clear" w:color="auto" w:fill="auto"/>
            <w:vAlign w:val="center"/>
          </w:tcPr>
          <w:p w14:paraId="1D854329">
            <w:pPr>
              <w:jc w:val="center"/>
              <w:textAlignment w:val="center"/>
              <w:rPr>
                <w:rFonts w:ascii="宋体" w:hAnsi="宋体" w:eastAsia="宋体"/>
                <w:color w:val="000000"/>
                <w:kern w:val="0"/>
                <w:sz w:val="22"/>
                <w:lang w:bidi="ar"/>
              </w:rPr>
            </w:pPr>
            <w:r>
              <w:rPr>
                <w:rFonts w:hint="eastAsia" w:ascii="宋体" w:hAnsi="宋体" w:eastAsia="宋体"/>
                <w:color w:val="000000"/>
                <w:kern w:val="0"/>
                <w:sz w:val="22"/>
                <w:lang w:bidi="ar"/>
              </w:rPr>
              <w:t>22</w:t>
            </w:r>
          </w:p>
        </w:tc>
        <w:tc>
          <w:tcPr>
            <w:tcW w:w="741" w:type="pct"/>
            <w:shd w:val="clear" w:color="000000" w:fill="FFFFFF"/>
            <w:vAlign w:val="center"/>
          </w:tcPr>
          <w:p w14:paraId="1C6E43C1">
            <w:pPr>
              <w:jc w:val="center"/>
              <w:rPr>
                <w:rFonts w:ascii="宋体" w:hAnsi="宋体" w:eastAsia="宋体"/>
                <w:kern w:val="0"/>
                <w:szCs w:val="21"/>
                <w:lang w:bidi="ar"/>
              </w:rPr>
            </w:pPr>
            <w:r>
              <w:rPr>
                <w:rFonts w:hint="eastAsia" w:ascii="宋体" w:hAnsi="宋体" w:eastAsia="宋体"/>
                <w:kern w:val="0"/>
                <w:szCs w:val="21"/>
              </w:rPr>
              <w:t>昌都市洛隆县农村供水保障工程</w:t>
            </w:r>
          </w:p>
        </w:tc>
        <w:tc>
          <w:tcPr>
            <w:tcW w:w="350" w:type="pct"/>
            <w:shd w:val="clear" w:color="000000" w:fill="FFFFFF"/>
            <w:vAlign w:val="center"/>
          </w:tcPr>
          <w:p w14:paraId="4D29FE02">
            <w:pPr>
              <w:jc w:val="center"/>
              <w:rPr>
                <w:rFonts w:ascii="宋体" w:hAnsi="宋体" w:eastAsia="宋体"/>
                <w:kern w:val="0"/>
                <w:szCs w:val="21"/>
                <w:lang w:bidi="ar"/>
              </w:rPr>
            </w:pPr>
            <w:r>
              <w:rPr>
                <w:rFonts w:hint="eastAsia" w:ascii="宋体" w:hAnsi="宋体" w:eastAsia="宋体"/>
                <w:kern w:val="0"/>
                <w:szCs w:val="21"/>
              </w:rPr>
              <w:t>新建、改扩建</w:t>
            </w:r>
          </w:p>
        </w:tc>
        <w:tc>
          <w:tcPr>
            <w:tcW w:w="1935" w:type="pct"/>
            <w:shd w:val="clear" w:color="000000" w:fill="FFFFFF"/>
            <w:vAlign w:val="center"/>
          </w:tcPr>
          <w:p w14:paraId="5F0263B9">
            <w:pPr>
              <w:jc w:val="center"/>
              <w:rPr>
                <w:rFonts w:ascii="宋体" w:hAnsi="宋体" w:eastAsia="宋体"/>
                <w:kern w:val="0"/>
                <w:szCs w:val="21"/>
                <w:lang w:bidi="ar"/>
              </w:rPr>
            </w:pPr>
            <w:r>
              <w:rPr>
                <w:rFonts w:hint="eastAsia" w:ascii="宋体" w:hAnsi="宋体" w:eastAsia="宋体"/>
                <w:kern w:val="0"/>
                <w:szCs w:val="21"/>
              </w:rPr>
              <w:t>新建和改造163处，计划保障3.328万人的供水问题</w:t>
            </w:r>
          </w:p>
        </w:tc>
        <w:tc>
          <w:tcPr>
            <w:tcW w:w="458" w:type="pct"/>
            <w:vAlign w:val="center"/>
          </w:tcPr>
          <w:p w14:paraId="79B8979B">
            <w:pPr>
              <w:jc w:val="center"/>
              <w:rPr>
                <w:rFonts w:ascii="Times New Roman" w:hAnsi="Times New Roman" w:eastAsia="宋体" w:cs="Times New Roman"/>
                <w:kern w:val="0"/>
                <w:szCs w:val="21"/>
              </w:rPr>
            </w:pPr>
            <w:r>
              <w:rPr>
                <w:rFonts w:ascii="Times New Roman" w:hAnsi="Times New Roman" w:eastAsia="宋体" w:cs="Times New Roman"/>
                <w:kern w:val="0"/>
                <w:szCs w:val="21"/>
              </w:rPr>
              <w:t>2022~2025</w:t>
            </w:r>
          </w:p>
        </w:tc>
        <w:tc>
          <w:tcPr>
            <w:tcW w:w="507" w:type="pct"/>
            <w:vAlign w:val="center"/>
          </w:tcPr>
          <w:p w14:paraId="399D08A0">
            <w:pPr>
              <w:snapToGrid w:val="0"/>
              <w:jc w:val="center"/>
              <w:rPr>
                <w:rFonts w:ascii="宋体" w:hAnsi="宋体" w:eastAsia="宋体"/>
                <w:kern w:val="0"/>
                <w:szCs w:val="21"/>
              </w:rPr>
            </w:pPr>
            <w:r>
              <w:rPr>
                <w:rFonts w:hint="eastAsia" w:ascii="宋体" w:hAnsi="宋体" w:eastAsia="宋体"/>
                <w:kern w:val="0"/>
                <w:szCs w:val="21"/>
              </w:rPr>
              <w:t>洛隆县农村</w:t>
            </w:r>
          </w:p>
        </w:tc>
        <w:tc>
          <w:tcPr>
            <w:tcW w:w="366" w:type="pct"/>
            <w:noWrap/>
            <w:vAlign w:val="center"/>
          </w:tcPr>
          <w:p w14:paraId="5860AA94">
            <w:pPr>
              <w:jc w:val="center"/>
              <w:rPr>
                <w:rFonts w:ascii="宋体" w:hAnsi="宋体" w:eastAsia="宋体"/>
                <w:kern w:val="0"/>
                <w:szCs w:val="21"/>
                <w:lang w:bidi="ar"/>
              </w:rPr>
            </w:pPr>
            <w:r>
              <w:rPr>
                <w:rFonts w:hint="eastAsia" w:ascii="宋体" w:hAnsi="宋体" w:eastAsia="宋体"/>
                <w:kern w:val="0"/>
                <w:szCs w:val="21"/>
              </w:rPr>
              <w:t>49781</w:t>
            </w:r>
          </w:p>
        </w:tc>
        <w:tc>
          <w:tcPr>
            <w:tcW w:w="413" w:type="pct"/>
            <w:vAlign w:val="center"/>
          </w:tcPr>
          <w:p w14:paraId="0F7CE269">
            <w:pPr>
              <w:jc w:val="center"/>
              <w:rPr>
                <w:rFonts w:ascii="宋体" w:hAnsi="宋体" w:eastAsia="宋体"/>
                <w:kern w:val="0"/>
                <w:szCs w:val="21"/>
              </w:rPr>
            </w:pPr>
            <w:r>
              <w:rPr>
                <w:rFonts w:hint="eastAsia" w:ascii="宋体" w:hAnsi="宋体" w:eastAsia="宋体"/>
                <w:kern w:val="0"/>
                <w:szCs w:val="21"/>
              </w:rPr>
              <w:t>县水利局</w:t>
            </w:r>
          </w:p>
        </w:tc>
      </w:tr>
      <w:tr w14:paraId="48E29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 w:type="pct"/>
            <w:shd w:val="clear" w:color="auto" w:fill="auto"/>
            <w:vAlign w:val="center"/>
          </w:tcPr>
          <w:p w14:paraId="26563062">
            <w:pPr>
              <w:jc w:val="center"/>
              <w:textAlignment w:val="center"/>
              <w:rPr>
                <w:rFonts w:ascii="宋体" w:hAnsi="宋体" w:eastAsia="宋体"/>
                <w:color w:val="000000"/>
                <w:kern w:val="0"/>
                <w:sz w:val="22"/>
                <w:lang w:bidi="ar"/>
              </w:rPr>
            </w:pPr>
            <w:r>
              <w:rPr>
                <w:rFonts w:hint="eastAsia" w:ascii="宋体" w:hAnsi="宋体" w:eastAsia="宋体"/>
                <w:color w:val="000000"/>
                <w:kern w:val="0"/>
                <w:sz w:val="22"/>
                <w:lang w:bidi="ar"/>
              </w:rPr>
              <w:t>23</w:t>
            </w:r>
          </w:p>
        </w:tc>
        <w:tc>
          <w:tcPr>
            <w:tcW w:w="741" w:type="pct"/>
            <w:shd w:val="clear" w:color="000000" w:fill="FFFFFF"/>
            <w:vAlign w:val="center"/>
          </w:tcPr>
          <w:p w14:paraId="538AF6BE">
            <w:pPr>
              <w:jc w:val="center"/>
              <w:rPr>
                <w:rFonts w:ascii="宋体" w:hAnsi="宋体" w:eastAsia="宋体"/>
                <w:kern w:val="0"/>
                <w:szCs w:val="21"/>
                <w:lang w:bidi="ar"/>
              </w:rPr>
            </w:pPr>
            <w:r>
              <w:rPr>
                <w:rFonts w:hint="eastAsia" w:ascii="宋体" w:hAnsi="宋体" w:eastAsia="宋体"/>
                <w:kern w:val="0"/>
                <w:szCs w:val="21"/>
              </w:rPr>
              <w:t>昌都市洛隆县县城水源地建设工程</w:t>
            </w:r>
          </w:p>
        </w:tc>
        <w:tc>
          <w:tcPr>
            <w:tcW w:w="350" w:type="pct"/>
            <w:shd w:val="clear" w:color="000000" w:fill="FFFFFF"/>
            <w:vAlign w:val="center"/>
          </w:tcPr>
          <w:p w14:paraId="1528BA62">
            <w:pPr>
              <w:jc w:val="center"/>
              <w:rPr>
                <w:rFonts w:ascii="宋体" w:hAnsi="宋体" w:eastAsia="宋体"/>
                <w:kern w:val="0"/>
                <w:szCs w:val="21"/>
                <w:lang w:bidi="ar"/>
              </w:rPr>
            </w:pPr>
            <w:r>
              <w:rPr>
                <w:rFonts w:hint="eastAsia" w:ascii="宋体" w:hAnsi="宋体" w:eastAsia="宋体"/>
                <w:kern w:val="0"/>
                <w:szCs w:val="21"/>
              </w:rPr>
              <w:t>新建</w:t>
            </w:r>
          </w:p>
        </w:tc>
        <w:tc>
          <w:tcPr>
            <w:tcW w:w="1935" w:type="pct"/>
            <w:shd w:val="clear" w:color="000000" w:fill="FFFFFF"/>
            <w:vAlign w:val="center"/>
          </w:tcPr>
          <w:p w14:paraId="5682EF88">
            <w:pPr>
              <w:jc w:val="center"/>
              <w:rPr>
                <w:rFonts w:ascii="宋体" w:hAnsi="宋体" w:eastAsia="宋体"/>
                <w:kern w:val="0"/>
                <w:szCs w:val="21"/>
                <w:lang w:bidi="ar"/>
              </w:rPr>
            </w:pPr>
            <w:r>
              <w:rPr>
                <w:rFonts w:hint="eastAsia" w:ascii="宋体" w:hAnsi="宋体" w:eastAsia="宋体"/>
                <w:kern w:val="0"/>
                <w:szCs w:val="21"/>
              </w:rPr>
              <w:t>新建截潜流取水口一座，新建φ450主管道26km。高位蓄水池3000立方米，解决县城及集中安置点和周边群众共2.2万人的安全饮水问题。</w:t>
            </w:r>
          </w:p>
        </w:tc>
        <w:tc>
          <w:tcPr>
            <w:tcW w:w="458" w:type="pct"/>
            <w:vAlign w:val="center"/>
          </w:tcPr>
          <w:p w14:paraId="782C1B81">
            <w:pPr>
              <w:jc w:val="center"/>
              <w:rPr>
                <w:rFonts w:ascii="Times New Roman" w:hAnsi="Times New Roman" w:eastAsia="宋体" w:cs="Times New Roman"/>
                <w:kern w:val="0"/>
                <w:szCs w:val="21"/>
              </w:rPr>
            </w:pPr>
            <w:r>
              <w:rPr>
                <w:rFonts w:ascii="Times New Roman" w:hAnsi="Times New Roman" w:eastAsia="宋体" w:cs="Times New Roman"/>
                <w:kern w:val="0"/>
                <w:szCs w:val="21"/>
              </w:rPr>
              <w:t>2022~2025</w:t>
            </w:r>
          </w:p>
        </w:tc>
        <w:tc>
          <w:tcPr>
            <w:tcW w:w="507" w:type="pct"/>
            <w:vAlign w:val="center"/>
          </w:tcPr>
          <w:p w14:paraId="4F2821AB">
            <w:pPr>
              <w:jc w:val="center"/>
              <w:rPr>
                <w:rFonts w:ascii="宋体" w:hAnsi="宋体" w:eastAsia="宋体"/>
                <w:kern w:val="0"/>
                <w:szCs w:val="21"/>
              </w:rPr>
            </w:pPr>
            <w:r>
              <w:rPr>
                <w:rFonts w:hint="eastAsia" w:ascii="宋体" w:hAnsi="宋体" w:eastAsia="宋体"/>
                <w:kern w:val="0"/>
                <w:szCs w:val="21"/>
              </w:rPr>
              <w:t>阿么曲</w:t>
            </w:r>
          </w:p>
        </w:tc>
        <w:tc>
          <w:tcPr>
            <w:tcW w:w="366" w:type="pct"/>
            <w:noWrap/>
            <w:vAlign w:val="center"/>
          </w:tcPr>
          <w:p w14:paraId="51A0760F">
            <w:pPr>
              <w:jc w:val="center"/>
              <w:rPr>
                <w:rFonts w:ascii="宋体" w:hAnsi="宋体" w:eastAsia="宋体"/>
                <w:kern w:val="0"/>
                <w:szCs w:val="21"/>
                <w:lang w:bidi="ar"/>
              </w:rPr>
            </w:pPr>
            <w:r>
              <w:rPr>
                <w:rFonts w:hint="eastAsia" w:ascii="宋体" w:hAnsi="宋体" w:eastAsia="宋体"/>
                <w:kern w:val="0"/>
                <w:szCs w:val="21"/>
              </w:rPr>
              <w:t>7500</w:t>
            </w:r>
          </w:p>
        </w:tc>
        <w:tc>
          <w:tcPr>
            <w:tcW w:w="413" w:type="pct"/>
            <w:vAlign w:val="center"/>
          </w:tcPr>
          <w:p w14:paraId="13DE0E98">
            <w:pPr>
              <w:jc w:val="center"/>
              <w:rPr>
                <w:rFonts w:ascii="宋体" w:hAnsi="宋体" w:eastAsia="宋体"/>
                <w:kern w:val="0"/>
                <w:szCs w:val="21"/>
              </w:rPr>
            </w:pPr>
            <w:r>
              <w:rPr>
                <w:rFonts w:hint="eastAsia" w:ascii="宋体" w:hAnsi="宋体" w:eastAsia="宋体"/>
                <w:kern w:val="0"/>
                <w:szCs w:val="21"/>
              </w:rPr>
              <w:t>县水利局</w:t>
            </w:r>
          </w:p>
        </w:tc>
      </w:tr>
      <w:tr w14:paraId="060D3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53" w:type="pct"/>
            <w:gridSpan w:val="4"/>
            <w:shd w:val="clear" w:color="auto" w:fill="auto"/>
            <w:vAlign w:val="center"/>
          </w:tcPr>
          <w:p w14:paraId="386DFBF9">
            <w:pPr>
              <w:jc w:val="center"/>
              <w:textAlignment w:val="center"/>
              <w:rPr>
                <w:rFonts w:ascii="宋体" w:hAnsi="宋体" w:eastAsia="宋体"/>
                <w:kern w:val="0"/>
                <w:szCs w:val="21"/>
                <w:lang w:bidi="ar"/>
              </w:rPr>
            </w:pPr>
            <w:r>
              <w:rPr>
                <w:rFonts w:hint="eastAsia" w:ascii="宋体" w:hAnsi="宋体" w:eastAsia="宋体"/>
                <w:b/>
                <w:bCs/>
                <w:kern w:val="0"/>
                <w:szCs w:val="21"/>
              </w:rPr>
              <w:t>合计</w:t>
            </w:r>
          </w:p>
        </w:tc>
        <w:tc>
          <w:tcPr>
            <w:tcW w:w="458" w:type="pct"/>
            <w:vAlign w:val="center"/>
          </w:tcPr>
          <w:p w14:paraId="6E684F1A">
            <w:pPr>
              <w:snapToGrid w:val="0"/>
              <w:jc w:val="center"/>
              <w:rPr>
                <w:rFonts w:ascii="Times New Roman" w:hAnsi="Times New Roman" w:eastAsia="宋体" w:cs="Times New Roman"/>
                <w:kern w:val="0"/>
                <w:szCs w:val="21"/>
              </w:rPr>
            </w:pPr>
          </w:p>
        </w:tc>
        <w:tc>
          <w:tcPr>
            <w:tcW w:w="507" w:type="pct"/>
            <w:vAlign w:val="center"/>
          </w:tcPr>
          <w:p w14:paraId="32AF9BDF">
            <w:pPr>
              <w:snapToGrid w:val="0"/>
              <w:jc w:val="center"/>
              <w:rPr>
                <w:rFonts w:ascii="宋体" w:hAnsi="宋体" w:eastAsia="宋体"/>
                <w:kern w:val="0"/>
                <w:szCs w:val="21"/>
              </w:rPr>
            </w:pPr>
          </w:p>
        </w:tc>
        <w:tc>
          <w:tcPr>
            <w:tcW w:w="366" w:type="pct"/>
            <w:noWrap/>
            <w:vAlign w:val="center"/>
          </w:tcPr>
          <w:p w14:paraId="15FB8491">
            <w:pPr>
              <w:jc w:val="center"/>
              <w:rPr>
                <w:rFonts w:ascii="宋体" w:hAnsi="宋体" w:eastAsia="宋体"/>
                <w:kern w:val="0"/>
                <w:szCs w:val="21"/>
                <w:lang w:bidi="ar"/>
              </w:rPr>
            </w:pPr>
            <w:r>
              <w:rPr>
                <w:rFonts w:hint="eastAsia" w:ascii="宋体" w:hAnsi="宋体" w:eastAsia="宋体"/>
                <w:kern w:val="0"/>
                <w:szCs w:val="21"/>
                <w:lang w:bidi="ar"/>
              </w:rPr>
              <w:t>119680.3</w:t>
            </w:r>
          </w:p>
        </w:tc>
        <w:tc>
          <w:tcPr>
            <w:tcW w:w="413" w:type="pct"/>
            <w:vAlign w:val="center"/>
          </w:tcPr>
          <w:p w14:paraId="6D197E3F">
            <w:pPr>
              <w:jc w:val="center"/>
              <w:rPr>
                <w:rFonts w:ascii="宋体" w:hAnsi="宋体" w:eastAsia="宋体"/>
                <w:kern w:val="0"/>
                <w:szCs w:val="21"/>
              </w:rPr>
            </w:pPr>
          </w:p>
        </w:tc>
      </w:tr>
    </w:tbl>
    <w:p w14:paraId="43778592">
      <w:pPr>
        <w:ind w:firstLine="723"/>
        <w:rPr>
          <w:rFonts w:ascii="宋体" w:hAnsi="宋体" w:eastAsia="宋体"/>
          <w:b/>
          <w:kern w:val="0"/>
          <w:sz w:val="36"/>
          <w:szCs w:val="36"/>
        </w:rPr>
      </w:pPr>
      <w:r>
        <w:rPr>
          <w:rFonts w:hint="eastAsia" w:ascii="宋体" w:hAnsi="宋体" w:eastAsia="宋体"/>
          <w:b/>
          <w:kern w:val="0"/>
          <w:sz w:val="36"/>
          <w:szCs w:val="36"/>
        </w:rPr>
        <w:br w:type="page"/>
      </w:r>
    </w:p>
    <w:p w14:paraId="5B4BFA45">
      <w:pPr>
        <w:spacing w:before="240" w:beforeLines="100" w:line="579" w:lineRule="auto"/>
        <w:jc w:val="left"/>
        <w:outlineLvl w:val="0"/>
        <w:rPr>
          <w:rFonts w:ascii="宋体" w:hAnsi="宋体" w:eastAsia="宋体"/>
          <w:b/>
          <w:bCs/>
          <w:kern w:val="44"/>
          <w:sz w:val="32"/>
          <w:szCs w:val="40"/>
        </w:rPr>
      </w:pPr>
      <w:bookmarkStart w:id="307" w:name="_Toc105576388"/>
      <w:bookmarkStart w:id="308" w:name="_Toc3936"/>
      <w:r>
        <w:rPr>
          <w:rFonts w:hint="eastAsia" w:ascii="宋体" w:hAnsi="宋体" w:eastAsia="宋体"/>
          <w:b/>
          <w:bCs/>
          <w:kern w:val="44"/>
          <w:sz w:val="32"/>
          <w:szCs w:val="40"/>
        </w:rPr>
        <w:t>附表五  生态文化体系重点工程</w:t>
      </w:r>
      <w:bookmarkEnd w:id="307"/>
      <w:bookmarkEnd w:id="308"/>
    </w:p>
    <w:tbl>
      <w:tblPr>
        <w:tblStyle w:val="42"/>
        <w:tblW w:w="515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
        <w:gridCol w:w="1397"/>
        <w:gridCol w:w="577"/>
        <w:gridCol w:w="6469"/>
        <w:gridCol w:w="1574"/>
        <w:gridCol w:w="1226"/>
        <w:gridCol w:w="1290"/>
        <w:gridCol w:w="1152"/>
        <w:gridCol w:w="1122"/>
      </w:tblGrid>
      <w:tr w14:paraId="5C947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42" w:type="pct"/>
            <w:shd w:val="clear" w:color="000000" w:fill="FFFFFF"/>
            <w:vAlign w:val="center"/>
          </w:tcPr>
          <w:p w14:paraId="0CCD06CE">
            <w:pPr>
              <w:snapToGrid w:val="0"/>
              <w:jc w:val="center"/>
              <w:rPr>
                <w:rFonts w:ascii="宋体" w:hAnsi="宋体" w:eastAsia="宋体"/>
                <w:b/>
                <w:bCs/>
                <w:kern w:val="0"/>
                <w:szCs w:val="21"/>
              </w:rPr>
            </w:pPr>
            <w:r>
              <w:rPr>
                <w:rFonts w:hint="eastAsia" w:ascii="宋体" w:hAnsi="宋体" w:eastAsia="宋体"/>
                <w:b/>
                <w:bCs/>
                <w:kern w:val="0"/>
                <w:szCs w:val="21"/>
              </w:rPr>
              <w:t>序</w:t>
            </w:r>
          </w:p>
          <w:p w14:paraId="308AC93B">
            <w:pPr>
              <w:snapToGrid w:val="0"/>
              <w:jc w:val="center"/>
              <w:rPr>
                <w:rFonts w:ascii="宋体" w:hAnsi="宋体" w:eastAsia="宋体"/>
                <w:b/>
                <w:bCs/>
                <w:kern w:val="0"/>
                <w:szCs w:val="21"/>
              </w:rPr>
            </w:pPr>
            <w:r>
              <w:rPr>
                <w:rFonts w:hint="eastAsia" w:ascii="宋体" w:hAnsi="宋体" w:eastAsia="宋体"/>
                <w:b/>
                <w:bCs/>
                <w:kern w:val="0"/>
                <w:szCs w:val="21"/>
              </w:rPr>
              <w:t>号</w:t>
            </w:r>
          </w:p>
        </w:tc>
        <w:tc>
          <w:tcPr>
            <w:tcW w:w="458" w:type="pct"/>
            <w:shd w:val="clear" w:color="000000" w:fill="FFFFFF"/>
            <w:vAlign w:val="center"/>
          </w:tcPr>
          <w:p w14:paraId="57569F58">
            <w:pPr>
              <w:snapToGrid w:val="0"/>
              <w:jc w:val="center"/>
              <w:rPr>
                <w:rFonts w:ascii="宋体" w:hAnsi="宋体" w:eastAsia="宋体"/>
                <w:b/>
                <w:bCs/>
                <w:kern w:val="0"/>
                <w:szCs w:val="21"/>
              </w:rPr>
            </w:pPr>
            <w:r>
              <w:rPr>
                <w:rFonts w:hint="eastAsia" w:ascii="宋体" w:hAnsi="宋体" w:eastAsia="宋体"/>
                <w:b/>
                <w:bCs/>
                <w:kern w:val="0"/>
                <w:szCs w:val="21"/>
              </w:rPr>
              <w:t>项目名称</w:t>
            </w:r>
          </w:p>
        </w:tc>
        <w:tc>
          <w:tcPr>
            <w:tcW w:w="189" w:type="pct"/>
            <w:shd w:val="clear" w:color="000000" w:fill="FFFFFF"/>
            <w:vAlign w:val="center"/>
          </w:tcPr>
          <w:p w14:paraId="312BD4AD">
            <w:pPr>
              <w:snapToGrid w:val="0"/>
              <w:ind w:right="-105" w:rightChars="-50"/>
              <w:jc w:val="center"/>
              <w:rPr>
                <w:rFonts w:ascii="宋体" w:hAnsi="宋体" w:eastAsia="宋体"/>
                <w:b/>
                <w:bCs/>
                <w:kern w:val="0"/>
                <w:szCs w:val="21"/>
              </w:rPr>
            </w:pPr>
            <w:r>
              <w:rPr>
                <w:rFonts w:hint="eastAsia" w:ascii="宋体" w:hAnsi="宋体" w:eastAsia="宋体"/>
                <w:b/>
                <w:bCs/>
                <w:kern w:val="0"/>
                <w:szCs w:val="21"/>
              </w:rPr>
              <w:t>建设</w:t>
            </w:r>
          </w:p>
          <w:p w14:paraId="798AC54A">
            <w:pPr>
              <w:snapToGrid w:val="0"/>
              <w:ind w:right="-105" w:rightChars="-50"/>
              <w:jc w:val="center"/>
              <w:rPr>
                <w:rFonts w:ascii="宋体" w:hAnsi="宋体" w:eastAsia="宋体"/>
                <w:b/>
                <w:bCs/>
                <w:kern w:val="0"/>
                <w:szCs w:val="21"/>
              </w:rPr>
            </w:pPr>
            <w:r>
              <w:rPr>
                <w:rFonts w:hint="eastAsia" w:ascii="宋体" w:hAnsi="宋体" w:eastAsia="宋体"/>
                <w:b/>
                <w:bCs/>
                <w:kern w:val="0"/>
                <w:szCs w:val="21"/>
              </w:rPr>
              <w:t>性质</w:t>
            </w:r>
          </w:p>
        </w:tc>
        <w:tc>
          <w:tcPr>
            <w:tcW w:w="2120" w:type="pct"/>
            <w:shd w:val="clear" w:color="000000" w:fill="FFFFFF"/>
            <w:vAlign w:val="center"/>
          </w:tcPr>
          <w:p w14:paraId="5BBF9CEB">
            <w:pPr>
              <w:snapToGrid w:val="0"/>
              <w:jc w:val="center"/>
              <w:rPr>
                <w:rFonts w:ascii="宋体" w:hAnsi="宋体" w:eastAsia="宋体"/>
                <w:b/>
                <w:bCs/>
                <w:kern w:val="0"/>
                <w:szCs w:val="21"/>
              </w:rPr>
            </w:pPr>
            <w:r>
              <w:rPr>
                <w:rFonts w:hint="eastAsia" w:ascii="宋体" w:hAnsi="宋体" w:eastAsia="宋体"/>
                <w:b/>
                <w:bCs/>
                <w:kern w:val="0"/>
                <w:szCs w:val="21"/>
              </w:rPr>
              <w:t>建设内容和规模</w:t>
            </w:r>
          </w:p>
        </w:tc>
        <w:tc>
          <w:tcPr>
            <w:tcW w:w="516" w:type="pct"/>
            <w:shd w:val="clear" w:color="000000" w:fill="FFFFFF"/>
            <w:vAlign w:val="center"/>
          </w:tcPr>
          <w:p w14:paraId="60F3D915">
            <w:pPr>
              <w:snapToGrid w:val="0"/>
              <w:jc w:val="center"/>
              <w:rPr>
                <w:rFonts w:ascii="宋体" w:hAnsi="宋体" w:eastAsia="宋体"/>
                <w:b/>
                <w:bCs/>
                <w:kern w:val="0"/>
                <w:szCs w:val="21"/>
              </w:rPr>
            </w:pPr>
            <w:r>
              <w:rPr>
                <w:rFonts w:hint="eastAsia" w:ascii="宋体" w:hAnsi="宋体" w:eastAsia="宋体"/>
                <w:b/>
                <w:bCs/>
                <w:kern w:val="0"/>
                <w:szCs w:val="21"/>
              </w:rPr>
              <w:t>建设期限</w:t>
            </w:r>
          </w:p>
        </w:tc>
        <w:tc>
          <w:tcPr>
            <w:tcW w:w="402" w:type="pct"/>
            <w:shd w:val="clear" w:color="000000" w:fill="FFFFFF"/>
            <w:vAlign w:val="center"/>
          </w:tcPr>
          <w:p w14:paraId="05DBE22F">
            <w:pPr>
              <w:snapToGrid w:val="0"/>
              <w:jc w:val="center"/>
              <w:rPr>
                <w:rFonts w:ascii="宋体" w:hAnsi="宋体" w:eastAsia="宋体"/>
                <w:b/>
                <w:bCs/>
                <w:kern w:val="0"/>
                <w:szCs w:val="21"/>
              </w:rPr>
            </w:pPr>
            <w:r>
              <w:rPr>
                <w:rFonts w:hint="eastAsia" w:ascii="宋体" w:hAnsi="宋体" w:eastAsia="宋体"/>
                <w:b/>
                <w:bCs/>
                <w:kern w:val="0"/>
                <w:szCs w:val="21"/>
              </w:rPr>
              <w:t>建设范围</w:t>
            </w:r>
          </w:p>
        </w:tc>
        <w:tc>
          <w:tcPr>
            <w:tcW w:w="423" w:type="pct"/>
            <w:shd w:val="clear" w:color="000000" w:fill="FFFFFF"/>
            <w:vAlign w:val="center"/>
          </w:tcPr>
          <w:p w14:paraId="5F80D999">
            <w:pPr>
              <w:snapToGrid w:val="0"/>
              <w:jc w:val="center"/>
              <w:rPr>
                <w:rFonts w:ascii="宋体" w:hAnsi="宋体" w:eastAsia="宋体"/>
                <w:b/>
                <w:bCs/>
                <w:kern w:val="0"/>
                <w:szCs w:val="21"/>
              </w:rPr>
            </w:pPr>
            <w:r>
              <w:rPr>
                <w:rFonts w:hint="eastAsia" w:ascii="宋体" w:hAnsi="宋体" w:eastAsia="宋体"/>
                <w:b/>
                <w:bCs/>
                <w:kern w:val="0"/>
                <w:szCs w:val="21"/>
              </w:rPr>
              <w:t>总投资</w:t>
            </w:r>
          </w:p>
          <w:p w14:paraId="6D28A915">
            <w:pPr>
              <w:snapToGrid w:val="0"/>
              <w:jc w:val="center"/>
              <w:rPr>
                <w:rFonts w:ascii="宋体" w:hAnsi="宋体" w:eastAsia="宋体"/>
                <w:b/>
                <w:bCs/>
                <w:kern w:val="0"/>
                <w:szCs w:val="21"/>
              </w:rPr>
            </w:pPr>
            <w:r>
              <w:rPr>
                <w:rFonts w:hint="eastAsia" w:ascii="宋体" w:hAnsi="宋体" w:eastAsia="宋体"/>
                <w:b/>
                <w:bCs/>
                <w:kern w:val="0"/>
                <w:szCs w:val="21"/>
              </w:rPr>
              <w:t>（万元）</w:t>
            </w:r>
          </w:p>
        </w:tc>
        <w:tc>
          <w:tcPr>
            <w:tcW w:w="378" w:type="pct"/>
            <w:shd w:val="clear" w:color="000000" w:fill="FFFFFF"/>
            <w:vAlign w:val="center"/>
          </w:tcPr>
          <w:p w14:paraId="4BEB770D">
            <w:pPr>
              <w:snapToGrid w:val="0"/>
              <w:jc w:val="center"/>
              <w:rPr>
                <w:rFonts w:ascii="宋体" w:hAnsi="宋体" w:eastAsia="宋体"/>
                <w:b/>
                <w:bCs/>
                <w:kern w:val="0"/>
                <w:szCs w:val="21"/>
              </w:rPr>
            </w:pPr>
            <w:r>
              <w:rPr>
                <w:rFonts w:hint="eastAsia" w:ascii="宋体" w:hAnsi="宋体" w:eastAsia="宋体"/>
                <w:b/>
                <w:bCs/>
                <w:kern w:val="0"/>
                <w:szCs w:val="21"/>
              </w:rPr>
              <w:t>责任单位</w:t>
            </w:r>
          </w:p>
        </w:tc>
        <w:tc>
          <w:tcPr>
            <w:tcW w:w="368" w:type="pct"/>
            <w:shd w:val="clear" w:color="000000" w:fill="FFFFFF"/>
            <w:vAlign w:val="center"/>
          </w:tcPr>
          <w:p w14:paraId="23430145">
            <w:pPr>
              <w:snapToGrid w:val="0"/>
              <w:jc w:val="center"/>
              <w:rPr>
                <w:rFonts w:ascii="宋体" w:hAnsi="宋体" w:eastAsia="宋体"/>
                <w:b/>
                <w:bCs/>
                <w:kern w:val="0"/>
                <w:szCs w:val="21"/>
              </w:rPr>
            </w:pPr>
            <w:r>
              <w:rPr>
                <w:rFonts w:hint="eastAsia" w:ascii="宋体" w:hAnsi="宋体" w:eastAsia="宋体"/>
                <w:b/>
                <w:bCs/>
                <w:kern w:val="0"/>
                <w:szCs w:val="21"/>
              </w:rPr>
              <w:t>备注</w:t>
            </w:r>
          </w:p>
        </w:tc>
      </w:tr>
      <w:tr w14:paraId="1B7A7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 w:type="dxa"/>
            <w:shd w:val="clear" w:color="auto" w:fill="auto"/>
            <w:vAlign w:val="center"/>
          </w:tcPr>
          <w:p w14:paraId="47600E1F">
            <w:pPr>
              <w:textAlignment w:val="center"/>
              <w:rPr>
                <w:rFonts w:ascii="宋体" w:hAnsi="宋体" w:eastAsia="宋体"/>
                <w:color w:val="000000"/>
                <w:kern w:val="0"/>
                <w:sz w:val="22"/>
                <w:lang w:bidi="ar"/>
              </w:rPr>
            </w:pPr>
            <w:r>
              <w:rPr>
                <w:rFonts w:hint="eastAsia" w:ascii="宋体" w:hAnsi="宋体" w:eastAsia="宋体"/>
                <w:color w:val="000000"/>
                <w:kern w:val="0"/>
                <w:sz w:val="22"/>
                <w:lang w:bidi="ar"/>
              </w:rPr>
              <w:t>1</w:t>
            </w:r>
          </w:p>
        </w:tc>
        <w:tc>
          <w:tcPr>
            <w:tcW w:w="458" w:type="pct"/>
            <w:shd w:val="clear" w:color="000000" w:fill="FFFFFF"/>
            <w:vAlign w:val="center"/>
          </w:tcPr>
          <w:p w14:paraId="4B0A9061">
            <w:pPr>
              <w:jc w:val="center"/>
              <w:rPr>
                <w:rFonts w:ascii="宋体" w:hAnsi="宋体" w:eastAsia="宋体"/>
                <w:kern w:val="0"/>
                <w:szCs w:val="21"/>
              </w:rPr>
            </w:pPr>
            <w:r>
              <w:rPr>
                <w:rFonts w:hint="eastAsia" w:ascii="宋体" w:hAnsi="宋体" w:eastAsia="宋体"/>
                <w:spacing w:val="-7"/>
                <w:szCs w:val="21"/>
              </w:rPr>
              <w:t>新时代文明实践行动</w:t>
            </w:r>
          </w:p>
        </w:tc>
        <w:tc>
          <w:tcPr>
            <w:tcW w:w="189" w:type="pct"/>
            <w:shd w:val="clear" w:color="000000" w:fill="FFFFFF"/>
            <w:vAlign w:val="center"/>
          </w:tcPr>
          <w:p w14:paraId="6F51C043">
            <w:pPr>
              <w:ind w:right="-105" w:rightChars="-50"/>
              <w:jc w:val="center"/>
              <w:rPr>
                <w:rFonts w:ascii="宋体" w:hAnsi="宋体" w:eastAsia="宋体"/>
                <w:kern w:val="0"/>
                <w:szCs w:val="21"/>
              </w:rPr>
            </w:pPr>
            <w:r>
              <w:rPr>
                <w:rFonts w:hint="eastAsia" w:ascii="宋体" w:hAnsi="宋体" w:eastAsia="宋体"/>
                <w:kern w:val="0"/>
                <w:szCs w:val="21"/>
              </w:rPr>
              <w:t>新建</w:t>
            </w:r>
          </w:p>
        </w:tc>
        <w:tc>
          <w:tcPr>
            <w:tcW w:w="2120" w:type="pct"/>
            <w:shd w:val="clear" w:color="000000" w:fill="FFFFFF"/>
            <w:vAlign w:val="center"/>
          </w:tcPr>
          <w:p w14:paraId="2E49C12D">
            <w:pPr>
              <w:jc w:val="center"/>
              <w:rPr>
                <w:rFonts w:ascii="宋体" w:hAnsi="宋体" w:eastAsia="宋体"/>
                <w:kern w:val="0"/>
                <w:szCs w:val="21"/>
              </w:rPr>
            </w:pPr>
            <w:r>
              <w:rPr>
                <w:rFonts w:hint="eastAsia" w:ascii="宋体" w:hAnsi="宋体" w:eastAsia="宋体"/>
                <w:spacing w:val="-9"/>
                <w:szCs w:val="21"/>
              </w:rPr>
              <w:t>以县、乡镇、行政村三级为单元，建设新时代文明实践中心、</w:t>
            </w:r>
            <w:r>
              <w:rPr>
                <w:rFonts w:hint="eastAsia" w:ascii="宋体" w:hAnsi="宋体" w:eastAsia="宋体"/>
                <w:spacing w:val="-15"/>
                <w:szCs w:val="21"/>
              </w:rPr>
              <w:t>实践所及实践站，以志愿服务为基本形式，整合人员队伍、资金资源、平台载体、项目活动，</w:t>
            </w:r>
            <w:r>
              <w:rPr>
                <w:rFonts w:hint="eastAsia" w:ascii="宋体" w:hAnsi="宋体" w:eastAsia="宋体"/>
                <w:spacing w:val="-7"/>
                <w:szCs w:val="21"/>
              </w:rPr>
              <w:t>推动基层宣传思想文化工作和精神文明建设改革创新。</w:t>
            </w:r>
          </w:p>
        </w:tc>
        <w:tc>
          <w:tcPr>
            <w:tcW w:w="516" w:type="pct"/>
            <w:vAlign w:val="center"/>
          </w:tcPr>
          <w:p w14:paraId="5E84B87B">
            <w:pPr>
              <w:snapToGrid w:val="0"/>
              <w:jc w:val="center"/>
              <w:rPr>
                <w:rFonts w:ascii="宋体" w:hAnsi="宋体" w:eastAsia="宋体"/>
                <w:kern w:val="0"/>
                <w:szCs w:val="21"/>
              </w:rPr>
            </w:pPr>
            <w:r>
              <w:rPr>
                <w:rFonts w:hint="eastAsia" w:ascii="宋体" w:hAnsi="宋体" w:eastAsia="宋体"/>
                <w:kern w:val="0"/>
                <w:szCs w:val="21"/>
              </w:rPr>
              <w:t>2022-2035</w:t>
            </w:r>
          </w:p>
        </w:tc>
        <w:tc>
          <w:tcPr>
            <w:tcW w:w="402" w:type="pct"/>
            <w:vAlign w:val="center"/>
          </w:tcPr>
          <w:p w14:paraId="24A63E6C">
            <w:pPr>
              <w:snapToGrid w:val="0"/>
              <w:jc w:val="center"/>
              <w:rPr>
                <w:rFonts w:ascii="宋体" w:hAnsi="宋体" w:eastAsia="宋体"/>
                <w:kern w:val="0"/>
                <w:szCs w:val="21"/>
              </w:rPr>
            </w:pPr>
            <w:r>
              <w:rPr>
                <w:rFonts w:hint="eastAsia" w:ascii="宋体" w:hAnsi="宋体" w:eastAsia="宋体"/>
                <w:kern w:val="0"/>
                <w:szCs w:val="21"/>
              </w:rPr>
              <w:t>县乡村</w:t>
            </w:r>
          </w:p>
        </w:tc>
        <w:tc>
          <w:tcPr>
            <w:tcW w:w="423" w:type="pct"/>
            <w:noWrap/>
            <w:vAlign w:val="center"/>
          </w:tcPr>
          <w:p w14:paraId="18B572C1">
            <w:pPr>
              <w:jc w:val="center"/>
              <w:rPr>
                <w:rFonts w:ascii="宋体" w:hAnsi="宋体" w:eastAsia="宋体"/>
                <w:kern w:val="0"/>
                <w:szCs w:val="21"/>
              </w:rPr>
            </w:pPr>
            <w:r>
              <w:rPr>
                <w:rFonts w:hint="eastAsia" w:ascii="宋体" w:hAnsi="宋体" w:eastAsia="宋体"/>
                <w:kern w:val="0"/>
                <w:szCs w:val="21"/>
              </w:rPr>
              <w:t>200</w:t>
            </w:r>
          </w:p>
        </w:tc>
        <w:tc>
          <w:tcPr>
            <w:tcW w:w="378" w:type="pct"/>
            <w:vAlign w:val="center"/>
          </w:tcPr>
          <w:p w14:paraId="04000E77">
            <w:pPr>
              <w:jc w:val="center"/>
              <w:rPr>
                <w:rFonts w:ascii="宋体" w:hAnsi="宋体" w:eastAsia="宋体"/>
                <w:kern w:val="0"/>
                <w:szCs w:val="21"/>
              </w:rPr>
            </w:pPr>
            <w:r>
              <w:rPr>
                <w:rFonts w:hint="eastAsia" w:ascii="宋体" w:hAnsi="宋体" w:eastAsia="宋体"/>
                <w:kern w:val="0"/>
                <w:szCs w:val="21"/>
              </w:rPr>
              <w:t>县文化局</w:t>
            </w:r>
          </w:p>
        </w:tc>
        <w:tc>
          <w:tcPr>
            <w:tcW w:w="368" w:type="pct"/>
            <w:vMerge w:val="restart"/>
            <w:vAlign w:val="center"/>
          </w:tcPr>
          <w:p w14:paraId="11378F20">
            <w:pPr>
              <w:jc w:val="center"/>
              <w:rPr>
                <w:rFonts w:ascii="宋体" w:hAnsi="宋体" w:eastAsia="宋体"/>
                <w:kern w:val="0"/>
                <w:szCs w:val="21"/>
              </w:rPr>
            </w:pPr>
          </w:p>
        </w:tc>
      </w:tr>
      <w:tr w14:paraId="273A9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 w:type="dxa"/>
            <w:shd w:val="clear" w:color="auto" w:fill="auto"/>
            <w:vAlign w:val="center"/>
          </w:tcPr>
          <w:p w14:paraId="4380C0BB">
            <w:pPr>
              <w:textAlignment w:val="center"/>
              <w:rPr>
                <w:rFonts w:ascii="宋体" w:hAnsi="宋体" w:eastAsia="宋体"/>
                <w:color w:val="000000"/>
                <w:kern w:val="0"/>
                <w:sz w:val="22"/>
                <w:lang w:bidi="ar"/>
              </w:rPr>
            </w:pPr>
            <w:r>
              <w:rPr>
                <w:rFonts w:hint="eastAsia" w:ascii="宋体" w:hAnsi="宋体" w:eastAsia="宋体"/>
                <w:color w:val="000000"/>
                <w:kern w:val="0"/>
                <w:sz w:val="22"/>
                <w:lang w:bidi="ar"/>
              </w:rPr>
              <w:t>2</w:t>
            </w:r>
          </w:p>
        </w:tc>
        <w:tc>
          <w:tcPr>
            <w:tcW w:w="458" w:type="pct"/>
            <w:shd w:val="clear" w:color="000000" w:fill="FFFFFF"/>
            <w:vAlign w:val="center"/>
          </w:tcPr>
          <w:p w14:paraId="3D6E92F6">
            <w:pPr>
              <w:jc w:val="center"/>
              <w:rPr>
                <w:rFonts w:ascii="宋体" w:hAnsi="宋体" w:eastAsia="宋体"/>
                <w:kern w:val="0"/>
                <w:szCs w:val="21"/>
              </w:rPr>
            </w:pPr>
            <w:r>
              <w:rPr>
                <w:rFonts w:hint="eastAsia" w:ascii="宋体" w:hAnsi="宋体" w:eastAsia="宋体"/>
                <w:spacing w:val="-8"/>
                <w:szCs w:val="21"/>
              </w:rPr>
              <w:t>文明村镇创建工程</w:t>
            </w:r>
          </w:p>
        </w:tc>
        <w:tc>
          <w:tcPr>
            <w:tcW w:w="189" w:type="pct"/>
            <w:shd w:val="clear" w:color="000000" w:fill="FFFFFF"/>
            <w:vAlign w:val="center"/>
          </w:tcPr>
          <w:p w14:paraId="5608B6B7">
            <w:pPr>
              <w:ind w:right="-105" w:rightChars="-50"/>
              <w:jc w:val="center"/>
              <w:rPr>
                <w:rFonts w:ascii="宋体" w:hAnsi="宋体" w:eastAsia="宋体"/>
                <w:kern w:val="0"/>
                <w:szCs w:val="21"/>
              </w:rPr>
            </w:pPr>
            <w:r>
              <w:rPr>
                <w:rFonts w:hint="eastAsia" w:ascii="宋体" w:hAnsi="宋体" w:eastAsia="宋体"/>
                <w:kern w:val="0"/>
                <w:szCs w:val="21"/>
              </w:rPr>
              <w:t>新建</w:t>
            </w:r>
          </w:p>
        </w:tc>
        <w:tc>
          <w:tcPr>
            <w:tcW w:w="2120" w:type="pct"/>
            <w:shd w:val="clear" w:color="000000" w:fill="FFFFFF"/>
            <w:vAlign w:val="center"/>
          </w:tcPr>
          <w:p w14:paraId="27567208">
            <w:pPr>
              <w:ind w:right="98"/>
              <w:jc w:val="center"/>
              <w:rPr>
                <w:rFonts w:ascii="宋体" w:hAnsi="宋体" w:eastAsia="宋体"/>
                <w:kern w:val="0"/>
                <w:szCs w:val="21"/>
              </w:rPr>
            </w:pPr>
            <w:r>
              <w:rPr>
                <w:rFonts w:hint="eastAsia" w:ascii="宋体" w:hAnsi="宋体" w:eastAsia="宋体"/>
                <w:spacing w:val="-7"/>
                <w:szCs w:val="21"/>
              </w:rPr>
              <w:t>开展文明村镇创建及文明家庭评选表彰活动，到</w:t>
            </w:r>
            <w:r>
              <w:rPr>
                <w:rFonts w:hint="eastAsia" w:ascii="宋体" w:hAnsi="宋体" w:eastAsia="宋体"/>
                <w:szCs w:val="21"/>
              </w:rPr>
              <w:t>2025</w:t>
            </w:r>
            <w:r>
              <w:rPr>
                <w:rFonts w:hint="eastAsia" w:ascii="宋体" w:hAnsi="宋体" w:eastAsia="宋体"/>
                <w:spacing w:val="-9"/>
                <w:szCs w:val="21"/>
              </w:rPr>
              <w:t>年，县级</w:t>
            </w:r>
            <w:r>
              <w:rPr>
                <w:rFonts w:hint="eastAsia" w:ascii="宋体" w:hAnsi="宋体" w:eastAsia="宋体"/>
                <w:spacing w:val="-10"/>
                <w:szCs w:val="21"/>
              </w:rPr>
              <w:t>及以上文明村镇占比达到</w:t>
            </w:r>
            <w:r>
              <w:rPr>
                <w:rFonts w:hint="eastAsia" w:ascii="宋体" w:hAnsi="宋体" w:eastAsia="宋体"/>
                <w:szCs w:val="21"/>
              </w:rPr>
              <w:t>75%。</w:t>
            </w:r>
          </w:p>
        </w:tc>
        <w:tc>
          <w:tcPr>
            <w:tcW w:w="516" w:type="pct"/>
            <w:vAlign w:val="center"/>
          </w:tcPr>
          <w:p w14:paraId="3A6177CC">
            <w:pPr>
              <w:snapToGrid w:val="0"/>
              <w:jc w:val="center"/>
              <w:rPr>
                <w:rFonts w:ascii="宋体" w:hAnsi="宋体" w:eastAsia="宋体"/>
                <w:kern w:val="0"/>
                <w:szCs w:val="21"/>
              </w:rPr>
            </w:pPr>
            <w:r>
              <w:rPr>
                <w:rFonts w:hint="eastAsia" w:ascii="宋体" w:hAnsi="宋体" w:eastAsia="宋体"/>
                <w:kern w:val="0"/>
                <w:szCs w:val="21"/>
              </w:rPr>
              <w:t>2022-2035</w:t>
            </w:r>
          </w:p>
        </w:tc>
        <w:tc>
          <w:tcPr>
            <w:tcW w:w="402" w:type="pct"/>
            <w:vAlign w:val="center"/>
          </w:tcPr>
          <w:p w14:paraId="483D8D3F">
            <w:pPr>
              <w:snapToGrid w:val="0"/>
              <w:jc w:val="center"/>
              <w:rPr>
                <w:rFonts w:ascii="宋体" w:hAnsi="宋体" w:eastAsia="宋体"/>
                <w:kern w:val="0"/>
                <w:szCs w:val="21"/>
              </w:rPr>
            </w:pPr>
            <w:r>
              <w:rPr>
                <w:rFonts w:hint="eastAsia" w:ascii="宋体" w:hAnsi="宋体" w:eastAsia="宋体"/>
                <w:kern w:val="0"/>
                <w:szCs w:val="21"/>
              </w:rPr>
              <w:t>乡村</w:t>
            </w:r>
          </w:p>
        </w:tc>
        <w:tc>
          <w:tcPr>
            <w:tcW w:w="423" w:type="pct"/>
            <w:noWrap/>
            <w:vAlign w:val="center"/>
          </w:tcPr>
          <w:p w14:paraId="7C60964E">
            <w:pPr>
              <w:jc w:val="center"/>
              <w:rPr>
                <w:rFonts w:ascii="宋体" w:hAnsi="宋体" w:eastAsia="宋体"/>
                <w:kern w:val="0"/>
                <w:szCs w:val="21"/>
              </w:rPr>
            </w:pPr>
            <w:r>
              <w:rPr>
                <w:rFonts w:hint="eastAsia" w:ascii="宋体" w:hAnsi="宋体" w:eastAsia="宋体"/>
                <w:kern w:val="0"/>
                <w:szCs w:val="21"/>
              </w:rPr>
              <w:t>550</w:t>
            </w:r>
          </w:p>
        </w:tc>
        <w:tc>
          <w:tcPr>
            <w:tcW w:w="378" w:type="pct"/>
            <w:vAlign w:val="center"/>
          </w:tcPr>
          <w:p w14:paraId="2073282C">
            <w:pPr>
              <w:jc w:val="center"/>
              <w:rPr>
                <w:rFonts w:ascii="宋体" w:hAnsi="宋体" w:eastAsia="宋体"/>
                <w:kern w:val="0"/>
                <w:szCs w:val="21"/>
              </w:rPr>
            </w:pPr>
            <w:r>
              <w:rPr>
                <w:rFonts w:hint="eastAsia" w:ascii="宋体" w:hAnsi="宋体" w:eastAsia="宋体"/>
                <w:kern w:val="0"/>
                <w:szCs w:val="21"/>
              </w:rPr>
              <w:t>县文化局</w:t>
            </w:r>
          </w:p>
        </w:tc>
        <w:tc>
          <w:tcPr>
            <w:tcW w:w="368" w:type="pct"/>
            <w:vMerge w:val="continue"/>
            <w:vAlign w:val="center"/>
          </w:tcPr>
          <w:p w14:paraId="7CD8E0F2">
            <w:pPr>
              <w:jc w:val="center"/>
              <w:rPr>
                <w:rFonts w:ascii="宋体" w:hAnsi="宋体" w:eastAsia="宋体"/>
                <w:kern w:val="0"/>
                <w:szCs w:val="21"/>
              </w:rPr>
            </w:pPr>
          </w:p>
        </w:tc>
      </w:tr>
      <w:tr w14:paraId="231FF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 w:type="dxa"/>
            <w:shd w:val="clear" w:color="auto" w:fill="auto"/>
            <w:vAlign w:val="center"/>
          </w:tcPr>
          <w:p w14:paraId="0CBD26FF">
            <w:pPr>
              <w:textAlignment w:val="center"/>
              <w:rPr>
                <w:rFonts w:ascii="宋体" w:hAnsi="宋体" w:eastAsia="宋体"/>
                <w:color w:val="000000"/>
                <w:kern w:val="0"/>
                <w:sz w:val="22"/>
                <w:lang w:bidi="ar"/>
              </w:rPr>
            </w:pPr>
            <w:r>
              <w:rPr>
                <w:rFonts w:hint="eastAsia" w:ascii="宋体" w:hAnsi="宋体" w:eastAsia="宋体"/>
                <w:color w:val="000000"/>
                <w:kern w:val="0"/>
                <w:sz w:val="22"/>
                <w:lang w:bidi="ar"/>
              </w:rPr>
              <w:t>3</w:t>
            </w:r>
          </w:p>
        </w:tc>
        <w:tc>
          <w:tcPr>
            <w:tcW w:w="458" w:type="pct"/>
            <w:shd w:val="clear" w:color="000000" w:fill="FFFFFF"/>
            <w:vAlign w:val="center"/>
          </w:tcPr>
          <w:p w14:paraId="4F8DB125">
            <w:pPr>
              <w:jc w:val="center"/>
              <w:rPr>
                <w:rFonts w:ascii="宋体" w:hAnsi="宋体" w:eastAsia="宋体"/>
                <w:kern w:val="0"/>
                <w:szCs w:val="21"/>
              </w:rPr>
            </w:pPr>
            <w:r>
              <w:rPr>
                <w:rFonts w:hint="eastAsia" w:ascii="宋体" w:hAnsi="宋体" w:eastAsia="宋体"/>
                <w:spacing w:val="-1"/>
                <w:szCs w:val="21"/>
              </w:rPr>
              <w:t>农村信用体系建设工程</w:t>
            </w:r>
          </w:p>
        </w:tc>
        <w:tc>
          <w:tcPr>
            <w:tcW w:w="189" w:type="pct"/>
            <w:shd w:val="clear" w:color="000000" w:fill="FFFFFF"/>
            <w:vAlign w:val="center"/>
          </w:tcPr>
          <w:p w14:paraId="09D1AE3D">
            <w:pPr>
              <w:ind w:right="-105" w:rightChars="-50"/>
              <w:jc w:val="center"/>
              <w:rPr>
                <w:rFonts w:ascii="宋体" w:hAnsi="宋体" w:eastAsia="宋体"/>
                <w:kern w:val="0"/>
                <w:szCs w:val="21"/>
              </w:rPr>
            </w:pPr>
            <w:r>
              <w:rPr>
                <w:rFonts w:hint="eastAsia" w:ascii="宋体" w:hAnsi="宋体" w:eastAsia="宋体"/>
                <w:kern w:val="0"/>
                <w:szCs w:val="21"/>
              </w:rPr>
              <w:t>新建</w:t>
            </w:r>
          </w:p>
        </w:tc>
        <w:tc>
          <w:tcPr>
            <w:tcW w:w="2120" w:type="pct"/>
            <w:shd w:val="clear" w:color="000000" w:fill="FFFFFF"/>
            <w:vAlign w:val="center"/>
          </w:tcPr>
          <w:p w14:paraId="4C160CD0">
            <w:pPr>
              <w:ind w:right="98"/>
              <w:jc w:val="center"/>
              <w:rPr>
                <w:rFonts w:ascii="宋体" w:hAnsi="宋体" w:eastAsia="宋体"/>
                <w:kern w:val="0"/>
                <w:szCs w:val="21"/>
              </w:rPr>
            </w:pPr>
            <w:r>
              <w:rPr>
                <w:rFonts w:hint="eastAsia" w:ascii="宋体" w:hAnsi="宋体" w:eastAsia="宋体"/>
                <w:spacing w:val="-3"/>
                <w:szCs w:val="21"/>
              </w:rPr>
              <w:t>深入推进农村信用体系建设，积极搭建农户信用信息数据</w:t>
            </w:r>
            <w:r>
              <w:rPr>
                <w:rFonts w:hint="eastAsia" w:ascii="宋体" w:hAnsi="宋体" w:eastAsia="宋体"/>
                <w:spacing w:val="-10"/>
                <w:szCs w:val="21"/>
              </w:rPr>
              <w:t>库、开展农户信用评价、构建信用正向激励机制、探索贫困户信用重建等工作，形成崇尚诚</w:t>
            </w:r>
            <w:r>
              <w:rPr>
                <w:rFonts w:hint="eastAsia" w:ascii="宋体" w:hAnsi="宋体" w:eastAsia="宋体"/>
                <w:szCs w:val="21"/>
              </w:rPr>
              <w:t>信、践行诚信的乡风民风。</w:t>
            </w:r>
          </w:p>
        </w:tc>
        <w:tc>
          <w:tcPr>
            <w:tcW w:w="516" w:type="pct"/>
            <w:vAlign w:val="center"/>
          </w:tcPr>
          <w:p w14:paraId="04F65950">
            <w:pPr>
              <w:snapToGrid w:val="0"/>
              <w:jc w:val="center"/>
              <w:rPr>
                <w:rFonts w:ascii="宋体" w:hAnsi="宋体" w:eastAsia="宋体"/>
                <w:kern w:val="0"/>
                <w:szCs w:val="21"/>
              </w:rPr>
            </w:pPr>
            <w:r>
              <w:rPr>
                <w:rFonts w:hint="eastAsia" w:ascii="宋体" w:hAnsi="宋体" w:eastAsia="宋体"/>
                <w:kern w:val="0"/>
                <w:szCs w:val="21"/>
              </w:rPr>
              <w:t>2022-2035</w:t>
            </w:r>
          </w:p>
        </w:tc>
        <w:tc>
          <w:tcPr>
            <w:tcW w:w="402" w:type="pct"/>
            <w:vAlign w:val="center"/>
          </w:tcPr>
          <w:p w14:paraId="79CD0C0E">
            <w:pPr>
              <w:snapToGrid w:val="0"/>
              <w:jc w:val="center"/>
              <w:rPr>
                <w:rFonts w:ascii="宋体" w:hAnsi="宋体" w:eastAsia="宋体"/>
                <w:kern w:val="0"/>
                <w:szCs w:val="21"/>
              </w:rPr>
            </w:pPr>
            <w:r>
              <w:rPr>
                <w:rFonts w:hint="eastAsia" w:ascii="宋体" w:hAnsi="宋体" w:eastAsia="宋体"/>
                <w:kern w:val="0"/>
                <w:szCs w:val="21"/>
              </w:rPr>
              <w:t>乡村</w:t>
            </w:r>
          </w:p>
        </w:tc>
        <w:tc>
          <w:tcPr>
            <w:tcW w:w="423" w:type="pct"/>
            <w:noWrap/>
            <w:vAlign w:val="center"/>
          </w:tcPr>
          <w:p w14:paraId="4A54658E">
            <w:pPr>
              <w:jc w:val="center"/>
              <w:rPr>
                <w:rFonts w:ascii="宋体" w:hAnsi="宋体" w:eastAsia="宋体"/>
                <w:kern w:val="0"/>
                <w:szCs w:val="21"/>
              </w:rPr>
            </w:pPr>
            <w:r>
              <w:rPr>
                <w:rFonts w:hint="eastAsia" w:ascii="宋体" w:hAnsi="宋体" w:eastAsia="宋体"/>
                <w:kern w:val="0"/>
                <w:szCs w:val="21"/>
              </w:rPr>
              <w:t>400</w:t>
            </w:r>
          </w:p>
        </w:tc>
        <w:tc>
          <w:tcPr>
            <w:tcW w:w="378" w:type="pct"/>
            <w:vAlign w:val="center"/>
          </w:tcPr>
          <w:p w14:paraId="22C8C4CA">
            <w:pPr>
              <w:jc w:val="center"/>
              <w:rPr>
                <w:rFonts w:ascii="宋体" w:hAnsi="宋体" w:eastAsia="宋体"/>
                <w:kern w:val="0"/>
                <w:szCs w:val="21"/>
              </w:rPr>
            </w:pPr>
            <w:r>
              <w:rPr>
                <w:rFonts w:hint="eastAsia" w:ascii="宋体" w:hAnsi="宋体" w:eastAsia="宋体"/>
                <w:kern w:val="0"/>
                <w:szCs w:val="21"/>
              </w:rPr>
              <w:t>县文化局</w:t>
            </w:r>
          </w:p>
        </w:tc>
        <w:tc>
          <w:tcPr>
            <w:tcW w:w="368" w:type="pct"/>
            <w:vMerge w:val="continue"/>
            <w:vAlign w:val="center"/>
          </w:tcPr>
          <w:p w14:paraId="0B3248CF">
            <w:pPr>
              <w:jc w:val="center"/>
              <w:rPr>
                <w:rFonts w:ascii="宋体" w:hAnsi="宋体" w:eastAsia="宋体"/>
                <w:kern w:val="0"/>
                <w:szCs w:val="21"/>
              </w:rPr>
            </w:pPr>
          </w:p>
        </w:tc>
      </w:tr>
      <w:tr w14:paraId="5F5AE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 w:type="dxa"/>
            <w:shd w:val="clear" w:color="auto" w:fill="auto"/>
            <w:vAlign w:val="center"/>
          </w:tcPr>
          <w:p w14:paraId="1C147AD4">
            <w:pPr>
              <w:textAlignment w:val="center"/>
              <w:rPr>
                <w:rFonts w:ascii="宋体" w:hAnsi="宋体" w:eastAsia="宋体"/>
                <w:color w:val="000000"/>
                <w:kern w:val="0"/>
                <w:sz w:val="22"/>
                <w:lang w:bidi="ar"/>
              </w:rPr>
            </w:pPr>
            <w:r>
              <w:rPr>
                <w:rFonts w:hint="eastAsia" w:ascii="宋体" w:hAnsi="宋体" w:eastAsia="宋体"/>
                <w:color w:val="000000"/>
                <w:kern w:val="0"/>
                <w:sz w:val="22"/>
                <w:lang w:bidi="ar"/>
              </w:rPr>
              <w:t>4</w:t>
            </w:r>
          </w:p>
        </w:tc>
        <w:tc>
          <w:tcPr>
            <w:tcW w:w="458" w:type="pct"/>
            <w:shd w:val="clear" w:color="000000" w:fill="FFFFFF"/>
            <w:vAlign w:val="center"/>
          </w:tcPr>
          <w:p w14:paraId="58B8D787">
            <w:pPr>
              <w:jc w:val="center"/>
              <w:rPr>
                <w:rFonts w:ascii="宋体" w:hAnsi="宋体" w:eastAsia="宋体"/>
                <w:kern w:val="0"/>
                <w:szCs w:val="21"/>
              </w:rPr>
            </w:pPr>
            <w:r>
              <w:rPr>
                <w:rFonts w:hint="eastAsia" w:ascii="宋体" w:hAnsi="宋体" w:eastAsia="宋体"/>
                <w:szCs w:val="21"/>
              </w:rPr>
              <w:t>乡村文化保护传承工程</w:t>
            </w:r>
          </w:p>
        </w:tc>
        <w:tc>
          <w:tcPr>
            <w:tcW w:w="189" w:type="pct"/>
            <w:shd w:val="clear" w:color="000000" w:fill="FFFFFF"/>
            <w:vAlign w:val="center"/>
          </w:tcPr>
          <w:p w14:paraId="46313EF1">
            <w:pPr>
              <w:ind w:right="-105" w:rightChars="-50"/>
              <w:jc w:val="center"/>
              <w:rPr>
                <w:rFonts w:ascii="宋体" w:hAnsi="宋体" w:eastAsia="宋体"/>
                <w:kern w:val="0"/>
                <w:szCs w:val="21"/>
              </w:rPr>
            </w:pPr>
            <w:r>
              <w:rPr>
                <w:rFonts w:hint="eastAsia" w:ascii="宋体" w:hAnsi="宋体" w:eastAsia="宋体"/>
                <w:kern w:val="0"/>
                <w:szCs w:val="21"/>
              </w:rPr>
              <w:t>新建</w:t>
            </w:r>
          </w:p>
        </w:tc>
        <w:tc>
          <w:tcPr>
            <w:tcW w:w="2120" w:type="pct"/>
            <w:shd w:val="clear" w:color="000000" w:fill="FFFFFF"/>
            <w:vAlign w:val="center"/>
          </w:tcPr>
          <w:p w14:paraId="6A4888C7">
            <w:pPr>
              <w:jc w:val="center"/>
              <w:rPr>
                <w:rFonts w:ascii="宋体" w:hAnsi="宋体" w:eastAsia="宋体"/>
                <w:kern w:val="0"/>
                <w:szCs w:val="21"/>
              </w:rPr>
            </w:pPr>
            <w:r>
              <w:rPr>
                <w:rFonts w:hint="eastAsia" w:ascii="宋体" w:hAnsi="宋体" w:eastAsia="宋体"/>
                <w:szCs w:val="21"/>
              </w:rPr>
              <w:t>推进洛隆民俗博物馆建设，支持地方舞蹈艺术和地方手工艺等一批带动性强的文化团体和文化产业项目建设。</w:t>
            </w:r>
          </w:p>
        </w:tc>
        <w:tc>
          <w:tcPr>
            <w:tcW w:w="516" w:type="pct"/>
            <w:vAlign w:val="center"/>
          </w:tcPr>
          <w:p w14:paraId="7BB42357">
            <w:pPr>
              <w:snapToGrid w:val="0"/>
              <w:jc w:val="center"/>
              <w:rPr>
                <w:rFonts w:ascii="宋体" w:hAnsi="宋体" w:eastAsia="宋体"/>
                <w:kern w:val="0"/>
                <w:szCs w:val="21"/>
              </w:rPr>
            </w:pPr>
            <w:r>
              <w:rPr>
                <w:rFonts w:hint="eastAsia" w:ascii="宋体" w:hAnsi="宋体" w:eastAsia="宋体"/>
                <w:kern w:val="0"/>
                <w:szCs w:val="21"/>
              </w:rPr>
              <w:t>2022-2035</w:t>
            </w:r>
          </w:p>
        </w:tc>
        <w:tc>
          <w:tcPr>
            <w:tcW w:w="402" w:type="pct"/>
            <w:vAlign w:val="center"/>
          </w:tcPr>
          <w:p w14:paraId="48BCB3C5">
            <w:pPr>
              <w:snapToGrid w:val="0"/>
              <w:jc w:val="center"/>
              <w:rPr>
                <w:rFonts w:ascii="宋体" w:hAnsi="宋体" w:eastAsia="宋体"/>
                <w:kern w:val="0"/>
                <w:szCs w:val="21"/>
              </w:rPr>
            </w:pPr>
            <w:r>
              <w:rPr>
                <w:rFonts w:hint="eastAsia" w:ascii="宋体" w:hAnsi="宋体" w:eastAsia="宋体"/>
                <w:kern w:val="0"/>
                <w:szCs w:val="21"/>
              </w:rPr>
              <w:t>乡村</w:t>
            </w:r>
          </w:p>
        </w:tc>
        <w:tc>
          <w:tcPr>
            <w:tcW w:w="423" w:type="pct"/>
            <w:noWrap/>
            <w:vAlign w:val="center"/>
          </w:tcPr>
          <w:p w14:paraId="0A496D74">
            <w:pPr>
              <w:jc w:val="center"/>
              <w:rPr>
                <w:rFonts w:ascii="宋体" w:hAnsi="宋体" w:eastAsia="宋体"/>
                <w:kern w:val="0"/>
                <w:szCs w:val="21"/>
              </w:rPr>
            </w:pPr>
            <w:r>
              <w:rPr>
                <w:rFonts w:hint="eastAsia" w:ascii="宋体" w:hAnsi="宋体" w:eastAsia="宋体"/>
                <w:kern w:val="0"/>
                <w:szCs w:val="21"/>
              </w:rPr>
              <w:t>350</w:t>
            </w:r>
          </w:p>
        </w:tc>
        <w:tc>
          <w:tcPr>
            <w:tcW w:w="378" w:type="pct"/>
            <w:vAlign w:val="center"/>
          </w:tcPr>
          <w:p w14:paraId="3DF8A94C">
            <w:pPr>
              <w:jc w:val="center"/>
              <w:rPr>
                <w:rFonts w:ascii="宋体" w:hAnsi="宋体" w:eastAsia="宋体"/>
                <w:kern w:val="0"/>
                <w:szCs w:val="21"/>
              </w:rPr>
            </w:pPr>
            <w:r>
              <w:rPr>
                <w:rFonts w:hint="eastAsia" w:ascii="宋体" w:hAnsi="宋体" w:eastAsia="宋体"/>
                <w:kern w:val="0"/>
                <w:szCs w:val="21"/>
              </w:rPr>
              <w:t>县文化局</w:t>
            </w:r>
          </w:p>
        </w:tc>
        <w:tc>
          <w:tcPr>
            <w:tcW w:w="368" w:type="pct"/>
            <w:vMerge w:val="continue"/>
            <w:vAlign w:val="center"/>
          </w:tcPr>
          <w:p w14:paraId="07839E42">
            <w:pPr>
              <w:jc w:val="center"/>
              <w:rPr>
                <w:rFonts w:ascii="宋体" w:hAnsi="宋体" w:eastAsia="宋体"/>
                <w:kern w:val="0"/>
                <w:szCs w:val="21"/>
              </w:rPr>
            </w:pPr>
          </w:p>
        </w:tc>
      </w:tr>
      <w:tr w14:paraId="15E6D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 w:type="dxa"/>
            <w:shd w:val="clear" w:color="auto" w:fill="auto"/>
            <w:vAlign w:val="center"/>
          </w:tcPr>
          <w:p w14:paraId="3E83D64A">
            <w:pPr>
              <w:textAlignment w:val="center"/>
              <w:rPr>
                <w:rFonts w:ascii="宋体" w:hAnsi="宋体" w:eastAsia="宋体"/>
                <w:color w:val="000000"/>
                <w:kern w:val="0"/>
                <w:sz w:val="22"/>
                <w:lang w:bidi="ar"/>
              </w:rPr>
            </w:pPr>
            <w:r>
              <w:rPr>
                <w:rFonts w:hint="eastAsia" w:ascii="宋体" w:hAnsi="宋体" w:eastAsia="宋体"/>
                <w:color w:val="000000"/>
                <w:kern w:val="0"/>
                <w:sz w:val="22"/>
                <w:lang w:bidi="ar"/>
              </w:rPr>
              <w:t>5</w:t>
            </w:r>
          </w:p>
        </w:tc>
        <w:tc>
          <w:tcPr>
            <w:tcW w:w="458" w:type="pct"/>
            <w:shd w:val="clear" w:color="000000" w:fill="FFFFFF"/>
            <w:vAlign w:val="center"/>
          </w:tcPr>
          <w:p w14:paraId="62C0B47D">
            <w:pPr>
              <w:jc w:val="center"/>
              <w:rPr>
                <w:rFonts w:ascii="宋体" w:hAnsi="宋体" w:eastAsia="宋体"/>
                <w:kern w:val="0"/>
                <w:szCs w:val="21"/>
              </w:rPr>
            </w:pPr>
            <w:r>
              <w:rPr>
                <w:rFonts w:hint="eastAsia" w:ascii="宋体" w:hAnsi="宋体" w:eastAsia="宋体"/>
                <w:szCs w:val="21"/>
              </w:rPr>
              <w:t>古村落古民居保护工程</w:t>
            </w:r>
          </w:p>
        </w:tc>
        <w:tc>
          <w:tcPr>
            <w:tcW w:w="189" w:type="pct"/>
            <w:shd w:val="clear" w:color="000000" w:fill="FFFFFF"/>
            <w:vAlign w:val="center"/>
          </w:tcPr>
          <w:p w14:paraId="15D916EC">
            <w:pPr>
              <w:ind w:right="-105" w:rightChars="-50"/>
              <w:jc w:val="center"/>
              <w:rPr>
                <w:rFonts w:ascii="宋体" w:hAnsi="宋体" w:eastAsia="宋体"/>
                <w:kern w:val="0"/>
                <w:szCs w:val="21"/>
              </w:rPr>
            </w:pPr>
            <w:r>
              <w:rPr>
                <w:rFonts w:hint="eastAsia" w:ascii="宋体" w:hAnsi="宋体" w:eastAsia="宋体"/>
                <w:kern w:val="0"/>
                <w:szCs w:val="21"/>
              </w:rPr>
              <w:t>新建</w:t>
            </w:r>
          </w:p>
        </w:tc>
        <w:tc>
          <w:tcPr>
            <w:tcW w:w="2120" w:type="pct"/>
            <w:shd w:val="clear" w:color="000000" w:fill="FFFFFF"/>
            <w:vAlign w:val="center"/>
          </w:tcPr>
          <w:p w14:paraId="44512AB5">
            <w:pPr>
              <w:jc w:val="center"/>
              <w:rPr>
                <w:rFonts w:ascii="宋体" w:hAnsi="宋体" w:eastAsia="宋体"/>
                <w:kern w:val="0"/>
                <w:szCs w:val="21"/>
              </w:rPr>
            </w:pPr>
            <w:r>
              <w:rPr>
                <w:rFonts w:hint="eastAsia" w:ascii="宋体" w:hAnsi="宋体" w:eastAsia="宋体"/>
                <w:spacing w:val="-3"/>
                <w:szCs w:val="21"/>
              </w:rPr>
              <w:t>做好古城镇、古村落的保护及合理开发利用；传承传统建筑文化，支持对古建民居修复，发展具有历史记忆特点的美丽乡村旅游。</w:t>
            </w:r>
          </w:p>
        </w:tc>
        <w:tc>
          <w:tcPr>
            <w:tcW w:w="516" w:type="pct"/>
            <w:vAlign w:val="center"/>
          </w:tcPr>
          <w:p w14:paraId="78E04CD3">
            <w:pPr>
              <w:snapToGrid w:val="0"/>
              <w:jc w:val="center"/>
              <w:rPr>
                <w:rFonts w:ascii="宋体" w:hAnsi="宋体" w:eastAsia="宋体"/>
                <w:kern w:val="0"/>
                <w:szCs w:val="21"/>
              </w:rPr>
            </w:pPr>
            <w:r>
              <w:rPr>
                <w:rFonts w:hint="eastAsia" w:ascii="宋体" w:hAnsi="宋体" w:eastAsia="宋体"/>
                <w:kern w:val="0"/>
                <w:szCs w:val="21"/>
              </w:rPr>
              <w:t>2022-2035</w:t>
            </w:r>
          </w:p>
        </w:tc>
        <w:tc>
          <w:tcPr>
            <w:tcW w:w="402" w:type="pct"/>
            <w:vAlign w:val="center"/>
          </w:tcPr>
          <w:p w14:paraId="4FF02A25">
            <w:pPr>
              <w:snapToGrid w:val="0"/>
              <w:jc w:val="center"/>
              <w:rPr>
                <w:rFonts w:ascii="宋体" w:hAnsi="宋体" w:eastAsia="宋体"/>
                <w:kern w:val="0"/>
                <w:szCs w:val="21"/>
              </w:rPr>
            </w:pPr>
            <w:r>
              <w:rPr>
                <w:rFonts w:hint="eastAsia" w:ascii="宋体" w:hAnsi="宋体" w:eastAsia="宋体"/>
                <w:kern w:val="0"/>
                <w:szCs w:val="21"/>
              </w:rPr>
              <w:t>乡村</w:t>
            </w:r>
          </w:p>
        </w:tc>
        <w:tc>
          <w:tcPr>
            <w:tcW w:w="423" w:type="pct"/>
            <w:noWrap/>
            <w:vAlign w:val="center"/>
          </w:tcPr>
          <w:p w14:paraId="4B8DB212">
            <w:pPr>
              <w:jc w:val="center"/>
              <w:rPr>
                <w:rFonts w:ascii="宋体" w:hAnsi="宋体" w:eastAsia="宋体"/>
                <w:kern w:val="0"/>
                <w:szCs w:val="21"/>
              </w:rPr>
            </w:pPr>
            <w:r>
              <w:rPr>
                <w:rFonts w:hint="eastAsia" w:ascii="宋体" w:hAnsi="宋体" w:eastAsia="宋体"/>
                <w:kern w:val="0"/>
                <w:szCs w:val="21"/>
              </w:rPr>
              <w:t>400</w:t>
            </w:r>
          </w:p>
        </w:tc>
        <w:tc>
          <w:tcPr>
            <w:tcW w:w="378" w:type="pct"/>
            <w:vAlign w:val="center"/>
          </w:tcPr>
          <w:p w14:paraId="15F53435">
            <w:pPr>
              <w:jc w:val="center"/>
              <w:rPr>
                <w:rFonts w:ascii="宋体" w:hAnsi="宋体" w:eastAsia="宋体"/>
                <w:kern w:val="0"/>
                <w:szCs w:val="21"/>
              </w:rPr>
            </w:pPr>
            <w:r>
              <w:rPr>
                <w:rFonts w:hint="eastAsia" w:ascii="宋体" w:hAnsi="宋体" w:eastAsia="宋体"/>
                <w:kern w:val="0"/>
                <w:szCs w:val="21"/>
              </w:rPr>
              <w:t>县文化局</w:t>
            </w:r>
          </w:p>
        </w:tc>
        <w:tc>
          <w:tcPr>
            <w:tcW w:w="368" w:type="pct"/>
            <w:vMerge w:val="continue"/>
            <w:vAlign w:val="center"/>
          </w:tcPr>
          <w:p w14:paraId="7AE09CA8">
            <w:pPr>
              <w:jc w:val="center"/>
              <w:rPr>
                <w:rFonts w:ascii="宋体" w:hAnsi="宋体" w:eastAsia="宋体"/>
                <w:kern w:val="0"/>
                <w:szCs w:val="21"/>
              </w:rPr>
            </w:pPr>
          </w:p>
        </w:tc>
      </w:tr>
      <w:tr w14:paraId="75C7C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 w:type="dxa"/>
            <w:shd w:val="clear" w:color="auto" w:fill="auto"/>
            <w:vAlign w:val="center"/>
          </w:tcPr>
          <w:p w14:paraId="54C0FD9D">
            <w:pPr>
              <w:textAlignment w:val="center"/>
              <w:rPr>
                <w:rFonts w:ascii="宋体" w:hAnsi="宋体" w:eastAsia="宋体"/>
                <w:color w:val="000000"/>
                <w:kern w:val="0"/>
                <w:sz w:val="22"/>
                <w:lang w:bidi="ar"/>
              </w:rPr>
            </w:pPr>
            <w:r>
              <w:rPr>
                <w:rFonts w:hint="eastAsia" w:ascii="宋体" w:hAnsi="宋体" w:eastAsia="宋体"/>
                <w:color w:val="000000"/>
                <w:kern w:val="0"/>
                <w:sz w:val="22"/>
                <w:lang w:bidi="ar"/>
              </w:rPr>
              <w:t>6</w:t>
            </w:r>
          </w:p>
        </w:tc>
        <w:tc>
          <w:tcPr>
            <w:tcW w:w="458" w:type="pct"/>
            <w:shd w:val="clear" w:color="000000" w:fill="FFFFFF"/>
            <w:vAlign w:val="center"/>
          </w:tcPr>
          <w:p w14:paraId="0ACE5531">
            <w:pPr>
              <w:jc w:val="center"/>
              <w:rPr>
                <w:rFonts w:ascii="宋体" w:hAnsi="宋体" w:eastAsia="宋体"/>
                <w:szCs w:val="21"/>
              </w:rPr>
            </w:pPr>
            <w:r>
              <w:rPr>
                <w:rFonts w:hint="eastAsia" w:ascii="宋体" w:hAnsi="宋体" w:eastAsia="宋体"/>
                <w:szCs w:val="21"/>
              </w:rPr>
              <w:t>非物质文化遗产传承发展工程</w:t>
            </w:r>
          </w:p>
        </w:tc>
        <w:tc>
          <w:tcPr>
            <w:tcW w:w="189" w:type="pct"/>
            <w:shd w:val="clear" w:color="000000" w:fill="FFFFFF"/>
            <w:vAlign w:val="center"/>
          </w:tcPr>
          <w:p w14:paraId="28A6F485">
            <w:pPr>
              <w:ind w:right="-105" w:rightChars="-50"/>
              <w:jc w:val="center"/>
              <w:rPr>
                <w:rFonts w:ascii="宋体" w:hAnsi="宋体" w:eastAsia="宋体"/>
                <w:kern w:val="0"/>
                <w:szCs w:val="21"/>
              </w:rPr>
            </w:pPr>
            <w:r>
              <w:rPr>
                <w:rFonts w:hint="eastAsia" w:ascii="宋体" w:hAnsi="宋体" w:eastAsia="宋体"/>
                <w:kern w:val="0"/>
                <w:szCs w:val="21"/>
              </w:rPr>
              <w:t>新建</w:t>
            </w:r>
          </w:p>
        </w:tc>
        <w:tc>
          <w:tcPr>
            <w:tcW w:w="2120" w:type="pct"/>
            <w:shd w:val="clear" w:color="000000" w:fill="FFFFFF"/>
            <w:vAlign w:val="center"/>
          </w:tcPr>
          <w:p w14:paraId="27FF633E">
            <w:pPr>
              <w:jc w:val="center"/>
              <w:rPr>
                <w:rFonts w:ascii="宋体" w:hAnsi="宋体" w:eastAsia="宋体"/>
                <w:kern w:val="0"/>
                <w:szCs w:val="21"/>
              </w:rPr>
            </w:pPr>
            <w:r>
              <w:rPr>
                <w:rFonts w:hint="eastAsia" w:ascii="宋体" w:hAnsi="宋体" w:eastAsia="宋体"/>
                <w:spacing w:val="-3"/>
                <w:szCs w:val="21"/>
              </w:rPr>
              <w:t>开展申遗工作，争取纳入自治区申遗重点项目；实施非遗传承人研修培训传习，通过学习传承实践，提高农牧民致富能力</w:t>
            </w:r>
          </w:p>
        </w:tc>
        <w:tc>
          <w:tcPr>
            <w:tcW w:w="516" w:type="pct"/>
            <w:vAlign w:val="center"/>
          </w:tcPr>
          <w:p w14:paraId="0B8EFB99">
            <w:pPr>
              <w:snapToGrid w:val="0"/>
              <w:jc w:val="center"/>
              <w:rPr>
                <w:rFonts w:ascii="宋体" w:hAnsi="宋体" w:eastAsia="宋体"/>
                <w:kern w:val="0"/>
                <w:szCs w:val="21"/>
              </w:rPr>
            </w:pPr>
            <w:r>
              <w:rPr>
                <w:rFonts w:hint="eastAsia" w:ascii="宋体" w:hAnsi="宋体" w:eastAsia="宋体"/>
                <w:kern w:val="0"/>
                <w:szCs w:val="21"/>
              </w:rPr>
              <w:t>2022-2035</w:t>
            </w:r>
          </w:p>
        </w:tc>
        <w:tc>
          <w:tcPr>
            <w:tcW w:w="402" w:type="pct"/>
            <w:vAlign w:val="center"/>
          </w:tcPr>
          <w:p w14:paraId="0756C74C">
            <w:pPr>
              <w:snapToGrid w:val="0"/>
              <w:jc w:val="center"/>
              <w:rPr>
                <w:rFonts w:ascii="宋体" w:hAnsi="宋体" w:eastAsia="宋体"/>
                <w:kern w:val="0"/>
                <w:szCs w:val="21"/>
              </w:rPr>
            </w:pPr>
            <w:r>
              <w:rPr>
                <w:rFonts w:hint="eastAsia" w:ascii="宋体" w:hAnsi="宋体" w:eastAsia="宋体"/>
                <w:kern w:val="0"/>
                <w:szCs w:val="21"/>
              </w:rPr>
              <w:t>乡村</w:t>
            </w:r>
          </w:p>
        </w:tc>
        <w:tc>
          <w:tcPr>
            <w:tcW w:w="423" w:type="pct"/>
            <w:noWrap/>
            <w:vAlign w:val="center"/>
          </w:tcPr>
          <w:p w14:paraId="27285041">
            <w:pPr>
              <w:jc w:val="center"/>
              <w:rPr>
                <w:rFonts w:ascii="宋体" w:hAnsi="宋体" w:eastAsia="宋体"/>
                <w:kern w:val="0"/>
                <w:szCs w:val="21"/>
              </w:rPr>
            </w:pPr>
            <w:r>
              <w:rPr>
                <w:rFonts w:hint="eastAsia" w:ascii="宋体" w:hAnsi="宋体" w:eastAsia="宋体"/>
                <w:kern w:val="0"/>
                <w:szCs w:val="21"/>
              </w:rPr>
              <w:t>200</w:t>
            </w:r>
          </w:p>
        </w:tc>
        <w:tc>
          <w:tcPr>
            <w:tcW w:w="378" w:type="pct"/>
            <w:vAlign w:val="center"/>
          </w:tcPr>
          <w:p w14:paraId="509B9671">
            <w:pPr>
              <w:jc w:val="center"/>
              <w:rPr>
                <w:rFonts w:ascii="宋体" w:hAnsi="宋体" w:eastAsia="宋体"/>
                <w:kern w:val="0"/>
                <w:szCs w:val="21"/>
              </w:rPr>
            </w:pPr>
            <w:r>
              <w:rPr>
                <w:rFonts w:hint="eastAsia" w:ascii="宋体" w:hAnsi="宋体" w:eastAsia="宋体"/>
                <w:kern w:val="0"/>
                <w:szCs w:val="21"/>
              </w:rPr>
              <w:t>县文化局</w:t>
            </w:r>
          </w:p>
        </w:tc>
        <w:tc>
          <w:tcPr>
            <w:tcW w:w="368" w:type="pct"/>
            <w:vMerge w:val="continue"/>
            <w:vAlign w:val="center"/>
          </w:tcPr>
          <w:p w14:paraId="7BE75C2B">
            <w:pPr>
              <w:jc w:val="center"/>
              <w:rPr>
                <w:rFonts w:ascii="宋体" w:hAnsi="宋体" w:eastAsia="宋体"/>
                <w:kern w:val="0"/>
                <w:szCs w:val="21"/>
              </w:rPr>
            </w:pPr>
          </w:p>
        </w:tc>
      </w:tr>
      <w:tr w14:paraId="26267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 w:type="dxa"/>
            <w:shd w:val="clear" w:color="auto" w:fill="auto"/>
            <w:vAlign w:val="center"/>
          </w:tcPr>
          <w:p w14:paraId="0BFB02FE">
            <w:pPr>
              <w:textAlignment w:val="center"/>
              <w:rPr>
                <w:rFonts w:ascii="宋体" w:hAnsi="宋体" w:eastAsia="宋体"/>
                <w:color w:val="000000"/>
                <w:kern w:val="0"/>
                <w:sz w:val="22"/>
                <w:lang w:bidi="ar"/>
              </w:rPr>
            </w:pPr>
            <w:r>
              <w:rPr>
                <w:rFonts w:hint="eastAsia" w:ascii="宋体" w:hAnsi="宋体" w:eastAsia="宋体"/>
                <w:color w:val="000000"/>
                <w:kern w:val="0"/>
                <w:sz w:val="22"/>
                <w:lang w:bidi="ar"/>
              </w:rPr>
              <w:t>7</w:t>
            </w:r>
          </w:p>
        </w:tc>
        <w:tc>
          <w:tcPr>
            <w:tcW w:w="458" w:type="pct"/>
            <w:shd w:val="clear" w:color="000000" w:fill="FFFFFF"/>
            <w:vAlign w:val="center"/>
          </w:tcPr>
          <w:p w14:paraId="37AE7775">
            <w:pPr>
              <w:jc w:val="center"/>
              <w:rPr>
                <w:rFonts w:ascii="宋体" w:hAnsi="宋体" w:eastAsia="宋体"/>
                <w:szCs w:val="21"/>
              </w:rPr>
            </w:pPr>
            <w:r>
              <w:rPr>
                <w:rFonts w:hint="eastAsia" w:ascii="宋体" w:hAnsi="宋体" w:eastAsia="宋体"/>
                <w:spacing w:val="-3"/>
                <w:szCs w:val="21"/>
              </w:rPr>
              <w:t>农村公共文化服务设施建设工程</w:t>
            </w:r>
          </w:p>
        </w:tc>
        <w:tc>
          <w:tcPr>
            <w:tcW w:w="189" w:type="pct"/>
            <w:shd w:val="clear" w:color="000000" w:fill="FFFFFF"/>
            <w:vAlign w:val="center"/>
          </w:tcPr>
          <w:p w14:paraId="3B298B49">
            <w:pPr>
              <w:ind w:right="-105" w:rightChars="-50"/>
              <w:jc w:val="center"/>
              <w:rPr>
                <w:rFonts w:ascii="宋体" w:hAnsi="宋体" w:eastAsia="宋体"/>
                <w:kern w:val="0"/>
                <w:szCs w:val="21"/>
              </w:rPr>
            </w:pPr>
            <w:r>
              <w:rPr>
                <w:rFonts w:hint="eastAsia" w:ascii="宋体" w:hAnsi="宋体" w:eastAsia="宋体"/>
                <w:kern w:val="0"/>
                <w:szCs w:val="21"/>
              </w:rPr>
              <w:t>新建</w:t>
            </w:r>
          </w:p>
        </w:tc>
        <w:tc>
          <w:tcPr>
            <w:tcW w:w="2120" w:type="pct"/>
            <w:shd w:val="clear" w:color="000000" w:fill="FFFFFF"/>
            <w:vAlign w:val="center"/>
          </w:tcPr>
          <w:p w14:paraId="43D149CF">
            <w:pPr>
              <w:jc w:val="center"/>
              <w:rPr>
                <w:rFonts w:ascii="宋体" w:hAnsi="宋体" w:eastAsia="宋体"/>
                <w:kern w:val="0"/>
                <w:szCs w:val="21"/>
              </w:rPr>
            </w:pPr>
            <w:r>
              <w:rPr>
                <w:rFonts w:hint="eastAsia" w:ascii="宋体" w:hAnsi="宋体" w:eastAsia="宋体"/>
                <w:spacing w:val="-5"/>
                <w:szCs w:val="21"/>
              </w:rPr>
              <w:t>统筹建设行政村综合文化服务中心，设有</w:t>
            </w:r>
            <w:r>
              <w:rPr>
                <w:rFonts w:hint="eastAsia" w:ascii="宋体" w:hAnsi="宋体" w:eastAsia="宋体"/>
                <w:szCs w:val="21"/>
              </w:rPr>
              <w:t>1</w:t>
            </w:r>
            <w:r>
              <w:rPr>
                <w:rFonts w:hint="eastAsia" w:ascii="宋体" w:hAnsi="宋体" w:eastAsia="宋体"/>
                <w:spacing w:val="-3"/>
                <w:szCs w:val="21"/>
              </w:rPr>
              <w:t>间多</w:t>
            </w:r>
            <w:r>
              <w:rPr>
                <w:rFonts w:hint="eastAsia" w:ascii="宋体" w:hAnsi="宋体" w:eastAsia="宋体"/>
                <w:szCs w:val="21"/>
              </w:rPr>
              <w:t>功能文化室、1</w:t>
            </w:r>
            <w:r>
              <w:rPr>
                <w:rFonts w:hint="eastAsia" w:ascii="宋体" w:hAnsi="宋体" w:eastAsia="宋体"/>
                <w:spacing w:val="-3"/>
                <w:szCs w:val="21"/>
              </w:rPr>
              <w:t>间图书阅览室、</w:t>
            </w:r>
            <w:r>
              <w:rPr>
                <w:rFonts w:hint="eastAsia" w:ascii="宋体" w:hAnsi="宋体" w:eastAsia="宋体"/>
                <w:szCs w:val="21"/>
              </w:rPr>
              <w:t>1</w:t>
            </w:r>
            <w:r>
              <w:rPr>
                <w:rFonts w:hint="eastAsia" w:ascii="宋体" w:hAnsi="宋体" w:eastAsia="宋体"/>
                <w:spacing w:val="-3"/>
                <w:szCs w:val="21"/>
              </w:rPr>
              <w:t>个文化广场、</w:t>
            </w:r>
            <w:r>
              <w:rPr>
                <w:rFonts w:hint="eastAsia" w:ascii="宋体" w:hAnsi="宋体" w:eastAsia="宋体"/>
                <w:szCs w:val="21"/>
              </w:rPr>
              <w:t>1</w:t>
            </w:r>
            <w:r>
              <w:rPr>
                <w:rFonts w:hint="eastAsia" w:ascii="宋体" w:hAnsi="宋体" w:eastAsia="宋体"/>
                <w:spacing w:val="-3"/>
                <w:szCs w:val="21"/>
              </w:rPr>
              <w:t>个宣传栏、</w:t>
            </w:r>
            <w:r>
              <w:rPr>
                <w:rFonts w:hint="eastAsia" w:ascii="宋体" w:hAnsi="宋体" w:eastAsia="宋体"/>
                <w:szCs w:val="21"/>
              </w:rPr>
              <w:t>1</w:t>
            </w:r>
            <w:r>
              <w:rPr>
                <w:rFonts w:hint="eastAsia" w:ascii="宋体" w:hAnsi="宋体" w:eastAsia="宋体"/>
                <w:spacing w:val="-3"/>
                <w:szCs w:val="21"/>
              </w:rPr>
              <w:t>套文化器材（</w:t>
            </w:r>
            <w:r>
              <w:rPr>
                <w:rFonts w:hint="eastAsia" w:ascii="宋体" w:hAnsi="宋体" w:eastAsia="宋体"/>
                <w:szCs w:val="21"/>
              </w:rPr>
              <w:t>含音响乐器</w:t>
            </w:r>
            <w:r>
              <w:rPr>
                <w:rFonts w:hint="eastAsia" w:ascii="宋体" w:hAnsi="宋体" w:eastAsia="宋体"/>
                <w:spacing w:val="-106"/>
                <w:szCs w:val="21"/>
              </w:rPr>
              <w:t>）</w:t>
            </w:r>
            <w:r>
              <w:rPr>
                <w:rFonts w:hint="eastAsia" w:ascii="宋体" w:hAnsi="宋体" w:eastAsia="宋体"/>
                <w:szCs w:val="21"/>
              </w:rPr>
              <w:t>、1</w:t>
            </w:r>
            <w:r>
              <w:rPr>
                <w:rFonts w:hint="eastAsia" w:ascii="宋体" w:hAnsi="宋体" w:eastAsia="宋体"/>
                <w:spacing w:val="-7"/>
                <w:szCs w:val="21"/>
              </w:rPr>
              <w:t>套广播器材、</w:t>
            </w:r>
            <w:r>
              <w:rPr>
                <w:rFonts w:hint="eastAsia" w:ascii="宋体" w:hAnsi="宋体" w:eastAsia="宋体"/>
                <w:szCs w:val="21"/>
              </w:rPr>
              <w:t>1</w:t>
            </w:r>
            <w:r>
              <w:rPr>
                <w:rFonts w:hint="eastAsia" w:ascii="宋体" w:hAnsi="宋体" w:eastAsia="宋体"/>
                <w:spacing w:val="-7"/>
                <w:szCs w:val="21"/>
              </w:rPr>
              <w:t>套体育设施</w:t>
            </w:r>
            <w:r>
              <w:rPr>
                <w:rFonts w:hint="eastAsia" w:ascii="宋体" w:hAnsi="宋体" w:eastAsia="宋体"/>
                <w:szCs w:val="21"/>
              </w:rPr>
              <w:t>（</w:t>
            </w:r>
            <w:r>
              <w:rPr>
                <w:rFonts w:hint="eastAsia" w:ascii="宋体" w:hAnsi="宋体" w:eastAsia="宋体"/>
                <w:spacing w:val="-8"/>
                <w:szCs w:val="21"/>
              </w:rPr>
              <w:t>含篮球场、乒乓球台、健身器材</w:t>
            </w:r>
            <w:r>
              <w:rPr>
                <w:rFonts w:hint="eastAsia" w:ascii="宋体" w:hAnsi="宋体" w:eastAsia="宋体"/>
                <w:spacing w:val="-106"/>
                <w:szCs w:val="21"/>
              </w:rPr>
              <w:t>）</w:t>
            </w:r>
            <w:r>
              <w:rPr>
                <w:rFonts w:hint="eastAsia" w:ascii="宋体" w:hAnsi="宋体" w:eastAsia="宋体"/>
                <w:spacing w:val="-6"/>
                <w:szCs w:val="21"/>
              </w:rPr>
              <w:t>。有条件的村可结合新时代文明实践站建设，建设小影院。</w:t>
            </w:r>
          </w:p>
        </w:tc>
        <w:tc>
          <w:tcPr>
            <w:tcW w:w="516" w:type="pct"/>
            <w:vAlign w:val="center"/>
          </w:tcPr>
          <w:p w14:paraId="4F095F51">
            <w:pPr>
              <w:snapToGrid w:val="0"/>
              <w:jc w:val="center"/>
              <w:rPr>
                <w:rFonts w:ascii="宋体" w:hAnsi="宋体" w:eastAsia="宋体"/>
                <w:kern w:val="0"/>
                <w:szCs w:val="21"/>
              </w:rPr>
            </w:pPr>
            <w:r>
              <w:rPr>
                <w:rFonts w:hint="eastAsia" w:ascii="宋体" w:hAnsi="宋体" w:eastAsia="宋体"/>
                <w:kern w:val="0"/>
                <w:szCs w:val="21"/>
              </w:rPr>
              <w:t>2022-2035</w:t>
            </w:r>
          </w:p>
        </w:tc>
        <w:tc>
          <w:tcPr>
            <w:tcW w:w="402" w:type="pct"/>
            <w:vAlign w:val="center"/>
          </w:tcPr>
          <w:p w14:paraId="359A8D74">
            <w:pPr>
              <w:snapToGrid w:val="0"/>
              <w:jc w:val="center"/>
              <w:rPr>
                <w:rFonts w:ascii="宋体" w:hAnsi="宋体" w:eastAsia="宋体"/>
                <w:kern w:val="0"/>
                <w:szCs w:val="21"/>
              </w:rPr>
            </w:pPr>
            <w:r>
              <w:rPr>
                <w:rFonts w:hint="eastAsia" w:ascii="宋体" w:hAnsi="宋体" w:eastAsia="宋体"/>
                <w:kern w:val="0"/>
                <w:szCs w:val="21"/>
              </w:rPr>
              <w:t>乡村</w:t>
            </w:r>
          </w:p>
        </w:tc>
        <w:tc>
          <w:tcPr>
            <w:tcW w:w="423" w:type="pct"/>
            <w:noWrap/>
            <w:vAlign w:val="center"/>
          </w:tcPr>
          <w:p w14:paraId="05316B9E">
            <w:pPr>
              <w:jc w:val="center"/>
              <w:rPr>
                <w:rFonts w:ascii="宋体" w:hAnsi="宋体" w:eastAsia="宋体"/>
                <w:kern w:val="0"/>
                <w:szCs w:val="21"/>
              </w:rPr>
            </w:pPr>
            <w:r>
              <w:rPr>
                <w:rFonts w:hint="eastAsia" w:ascii="宋体" w:hAnsi="宋体" w:eastAsia="宋体"/>
                <w:kern w:val="0"/>
                <w:szCs w:val="21"/>
              </w:rPr>
              <w:t>1500</w:t>
            </w:r>
          </w:p>
        </w:tc>
        <w:tc>
          <w:tcPr>
            <w:tcW w:w="378" w:type="pct"/>
            <w:vAlign w:val="center"/>
          </w:tcPr>
          <w:p w14:paraId="53FA4305">
            <w:pPr>
              <w:jc w:val="center"/>
              <w:rPr>
                <w:rFonts w:ascii="宋体" w:hAnsi="宋体" w:eastAsia="宋体"/>
                <w:kern w:val="0"/>
                <w:szCs w:val="21"/>
              </w:rPr>
            </w:pPr>
            <w:r>
              <w:rPr>
                <w:rFonts w:hint="eastAsia" w:ascii="宋体" w:hAnsi="宋体" w:eastAsia="宋体"/>
                <w:kern w:val="0"/>
                <w:szCs w:val="21"/>
              </w:rPr>
              <w:t>县文化局</w:t>
            </w:r>
          </w:p>
        </w:tc>
        <w:tc>
          <w:tcPr>
            <w:tcW w:w="368" w:type="pct"/>
            <w:vMerge w:val="continue"/>
            <w:vAlign w:val="center"/>
          </w:tcPr>
          <w:p w14:paraId="42EA009E">
            <w:pPr>
              <w:jc w:val="center"/>
              <w:rPr>
                <w:rFonts w:ascii="宋体" w:hAnsi="宋体" w:eastAsia="宋体"/>
                <w:kern w:val="0"/>
                <w:szCs w:val="21"/>
              </w:rPr>
            </w:pPr>
          </w:p>
        </w:tc>
      </w:tr>
      <w:tr w14:paraId="72467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 w:type="dxa"/>
            <w:shd w:val="clear" w:color="auto" w:fill="auto"/>
            <w:vAlign w:val="center"/>
          </w:tcPr>
          <w:p w14:paraId="2C1CA37E">
            <w:pPr>
              <w:textAlignment w:val="center"/>
              <w:rPr>
                <w:rFonts w:ascii="宋体" w:hAnsi="宋体" w:eastAsia="宋体"/>
                <w:color w:val="000000"/>
                <w:kern w:val="0"/>
                <w:sz w:val="22"/>
                <w:lang w:bidi="ar"/>
              </w:rPr>
            </w:pPr>
            <w:r>
              <w:rPr>
                <w:rFonts w:hint="eastAsia" w:ascii="宋体" w:hAnsi="宋体" w:eastAsia="宋体"/>
                <w:color w:val="000000"/>
                <w:kern w:val="0"/>
                <w:sz w:val="22"/>
                <w:lang w:bidi="ar"/>
              </w:rPr>
              <w:t>8</w:t>
            </w:r>
          </w:p>
        </w:tc>
        <w:tc>
          <w:tcPr>
            <w:tcW w:w="458" w:type="pct"/>
            <w:shd w:val="clear" w:color="000000" w:fill="FFFFFF"/>
            <w:vAlign w:val="center"/>
          </w:tcPr>
          <w:p w14:paraId="61B8EA12">
            <w:pPr>
              <w:jc w:val="center"/>
              <w:rPr>
                <w:rFonts w:ascii="宋体" w:hAnsi="宋体" w:eastAsia="宋体"/>
                <w:spacing w:val="-3"/>
                <w:szCs w:val="21"/>
              </w:rPr>
            </w:pPr>
            <w:r>
              <w:rPr>
                <w:rFonts w:hint="eastAsia" w:ascii="宋体" w:hAnsi="宋体" w:eastAsia="宋体"/>
                <w:spacing w:val="-11"/>
                <w:szCs w:val="21"/>
              </w:rPr>
              <w:t>文化科技卫生法律爱国爱教“五下乡”活动工程</w:t>
            </w:r>
          </w:p>
        </w:tc>
        <w:tc>
          <w:tcPr>
            <w:tcW w:w="189" w:type="pct"/>
            <w:shd w:val="clear" w:color="000000" w:fill="FFFFFF"/>
            <w:vAlign w:val="center"/>
          </w:tcPr>
          <w:p w14:paraId="0DF89174">
            <w:pPr>
              <w:ind w:right="-105" w:rightChars="-50"/>
              <w:jc w:val="center"/>
              <w:rPr>
                <w:rFonts w:ascii="宋体" w:hAnsi="宋体" w:eastAsia="宋体"/>
                <w:kern w:val="0"/>
                <w:szCs w:val="21"/>
              </w:rPr>
            </w:pPr>
            <w:r>
              <w:rPr>
                <w:rFonts w:hint="eastAsia" w:ascii="宋体" w:hAnsi="宋体" w:eastAsia="宋体"/>
                <w:kern w:val="0"/>
                <w:szCs w:val="21"/>
              </w:rPr>
              <w:t>新建</w:t>
            </w:r>
          </w:p>
        </w:tc>
        <w:tc>
          <w:tcPr>
            <w:tcW w:w="2120" w:type="pct"/>
            <w:shd w:val="clear" w:color="000000" w:fill="FFFFFF"/>
            <w:vAlign w:val="center"/>
          </w:tcPr>
          <w:p w14:paraId="13F0CB9C">
            <w:pPr>
              <w:jc w:val="center"/>
              <w:rPr>
                <w:rFonts w:ascii="宋体" w:hAnsi="宋体" w:eastAsia="宋体"/>
                <w:kern w:val="0"/>
                <w:szCs w:val="21"/>
              </w:rPr>
            </w:pPr>
            <w:r>
              <w:rPr>
                <w:rFonts w:hint="eastAsia" w:ascii="宋体" w:hAnsi="宋体" w:eastAsia="宋体"/>
                <w:spacing w:val="-3"/>
                <w:szCs w:val="21"/>
              </w:rPr>
              <w:t>定期为农牧民群众开展文艺演出、影片展映、健康义诊、政策法规咨询、科普教育、志愿者服务、农技培训等活动。</w:t>
            </w:r>
          </w:p>
        </w:tc>
        <w:tc>
          <w:tcPr>
            <w:tcW w:w="516" w:type="pct"/>
            <w:vAlign w:val="center"/>
          </w:tcPr>
          <w:p w14:paraId="17BFE98E">
            <w:pPr>
              <w:snapToGrid w:val="0"/>
              <w:jc w:val="center"/>
              <w:rPr>
                <w:rFonts w:ascii="宋体" w:hAnsi="宋体" w:eastAsia="宋体"/>
                <w:kern w:val="0"/>
                <w:szCs w:val="21"/>
              </w:rPr>
            </w:pPr>
            <w:r>
              <w:rPr>
                <w:rFonts w:hint="eastAsia" w:ascii="宋体" w:hAnsi="宋体" w:eastAsia="宋体"/>
                <w:kern w:val="0"/>
                <w:szCs w:val="21"/>
              </w:rPr>
              <w:t>2022-2035</w:t>
            </w:r>
          </w:p>
        </w:tc>
        <w:tc>
          <w:tcPr>
            <w:tcW w:w="402" w:type="pct"/>
            <w:vAlign w:val="center"/>
          </w:tcPr>
          <w:p w14:paraId="386FA3CF">
            <w:pPr>
              <w:snapToGrid w:val="0"/>
              <w:jc w:val="center"/>
              <w:rPr>
                <w:rFonts w:ascii="宋体" w:hAnsi="宋体" w:eastAsia="宋体"/>
                <w:kern w:val="0"/>
                <w:szCs w:val="21"/>
              </w:rPr>
            </w:pPr>
            <w:r>
              <w:rPr>
                <w:rFonts w:hint="eastAsia" w:ascii="宋体" w:hAnsi="宋体" w:eastAsia="宋体"/>
                <w:kern w:val="0"/>
                <w:szCs w:val="21"/>
              </w:rPr>
              <w:t>乡村</w:t>
            </w:r>
          </w:p>
        </w:tc>
        <w:tc>
          <w:tcPr>
            <w:tcW w:w="423" w:type="pct"/>
            <w:noWrap/>
            <w:vAlign w:val="center"/>
          </w:tcPr>
          <w:p w14:paraId="2DEC1105">
            <w:pPr>
              <w:jc w:val="center"/>
              <w:rPr>
                <w:rFonts w:ascii="宋体" w:hAnsi="宋体" w:eastAsia="宋体"/>
                <w:kern w:val="0"/>
                <w:szCs w:val="21"/>
              </w:rPr>
            </w:pPr>
            <w:r>
              <w:rPr>
                <w:rFonts w:hint="eastAsia" w:ascii="宋体" w:hAnsi="宋体" w:eastAsia="宋体"/>
                <w:kern w:val="0"/>
                <w:szCs w:val="21"/>
              </w:rPr>
              <w:t>250</w:t>
            </w:r>
          </w:p>
        </w:tc>
        <w:tc>
          <w:tcPr>
            <w:tcW w:w="378" w:type="pct"/>
            <w:vAlign w:val="center"/>
          </w:tcPr>
          <w:p w14:paraId="5455B7F8">
            <w:pPr>
              <w:jc w:val="center"/>
              <w:rPr>
                <w:rFonts w:ascii="宋体" w:hAnsi="宋体" w:eastAsia="宋体"/>
                <w:kern w:val="0"/>
                <w:szCs w:val="21"/>
              </w:rPr>
            </w:pPr>
            <w:r>
              <w:rPr>
                <w:rFonts w:hint="eastAsia" w:ascii="宋体" w:hAnsi="宋体" w:eastAsia="宋体"/>
                <w:kern w:val="0"/>
                <w:szCs w:val="21"/>
              </w:rPr>
              <w:t>县文化局</w:t>
            </w:r>
          </w:p>
        </w:tc>
        <w:tc>
          <w:tcPr>
            <w:tcW w:w="368" w:type="pct"/>
            <w:vMerge w:val="continue"/>
            <w:vAlign w:val="center"/>
          </w:tcPr>
          <w:p w14:paraId="777F860C">
            <w:pPr>
              <w:jc w:val="center"/>
              <w:rPr>
                <w:rFonts w:ascii="宋体" w:hAnsi="宋体" w:eastAsia="宋体"/>
                <w:kern w:val="0"/>
                <w:szCs w:val="21"/>
              </w:rPr>
            </w:pPr>
          </w:p>
        </w:tc>
      </w:tr>
      <w:tr w14:paraId="72049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 w:type="dxa"/>
            <w:shd w:val="clear" w:color="auto" w:fill="auto"/>
            <w:vAlign w:val="center"/>
          </w:tcPr>
          <w:p w14:paraId="1517F538">
            <w:pPr>
              <w:textAlignment w:val="center"/>
              <w:rPr>
                <w:rFonts w:ascii="宋体" w:hAnsi="宋体" w:eastAsia="宋体"/>
                <w:color w:val="000000"/>
                <w:kern w:val="0"/>
                <w:sz w:val="22"/>
                <w:lang w:bidi="ar"/>
              </w:rPr>
            </w:pPr>
            <w:r>
              <w:rPr>
                <w:rFonts w:hint="eastAsia" w:ascii="宋体" w:hAnsi="宋体" w:eastAsia="宋体"/>
                <w:color w:val="000000"/>
                <w:kern w:val="0"/>
                <w:sz w:val="22"/>
                <w:lang w:bidi="ar"/>
              </w:rPr>
              <w:t>9</w:t>
            </w:r>
          </w:p>
        </w:tc>
        <w:tc>
          <w:tcPr>
            <w:tcW w:w="458" w:type="pct"/>
            <w:shd w:val="clear" w:color="000000" w:fill="FFFFFF"/>
            <w:vAlign w:val="center"/>
          </w:tcPr>
          <w:p w14:paraId="5327117A">
            <w:pPr>
              <w:jc w:val="center"/>
              <w:rPr>
                <w:rFonts w:ascii="宋体" w:hAnsi="宋体" w:eastAsia="宋体"/>
                <w:spacing w:val="-3"/>
                <w:szCs w:val="21"/>
              </w:rPr>
            </w:pPr>
            <w:r>
              <w:rPr>
                <w:rFonts w:hint="eastAsia" w:ascii="宋体" w:hAnsi="宋体" w:eastAsia="宋体"/>
                <w:szCs w:val="21"/>
              </w:rPr>
              <w:t>乡村文化扶持工程</w:t>
            </w:r>
          </w:p>
        </w:tc>
        <w:tc>
          <w:tcPr>
            <w:tcW w:w="189" w:type="pct"/>
            <w:shd w:val="clear" w:color="000000" w:fill="FFFFFF"/>
            <w:vAlign w:val="center"/>
          </w:tcPr>
          <w:p w14:paraId="1CD64EA3">
            <w:pPr>
              <w:ind w:right="-105" w:rightChars="-50"/>
              <w:jc w:val="center"/>
              <w:rPr>
                <w:rFonts w:ascii="宋体" w:hAnsi="宋体" w:eastAsia="宋体"/>
                <w:kern w:val="0"/>
                <w:szCs w:val="21"/>
              </w:rPr>
            </w:pPr>
            <w:r>
              <w:rPr>
                <w:rFonts w:hint="eastAsia" w:ascii="宋体" w:hAnsi="宋体" w:eastAsia="宋体"/>
                <w:kern w:val="0"/>
                <w:szCs w:val="21"/>
              </w:rPr>
              <w:t>新建</w:t>
            </w:r>
          </w:p>
        </w:tc>
        <w:tc>
          <w:tcPr>
            <w:tcW w:w="2120" w:type="pct"/>
            <w:shd w:val="clear" w:color="000000" w:fill="FFFFFF"/>
            <w:vAlign w:val="center"/>
          </w:tcPr>
          <w:p w14:paraId="64938A78">
            <w:pPr>
              <w:ind w:right="96"/>
              <w:jc w:val="center"/>
              <w:rPr>
                <w:rFonts w:ascii="宋体" w:hAnsi="宋体" w:eastAsia="宋体"/>
                <w:kern w:val="0"/>
                <w:szCs w:val="21"/>
              </w:rPr>
            </w:pPr>
            <w:r>
              <w:rPr>
                <w:rFonts w:hint="eastAsia" w:ascii="宋体" w:hAnsi="宋体" w:eastAsia="宋体"/>
                <w:szCs w:val="21"/>
              </w:rPr>
              <w:t>扶持“三农”题材文艺创作，鼓励推出反映农牧民生产生活尤其是乡村振兴实践的优秀文艺作品；扶持地方文艺演出团队，采取政府购买文化服务的形式，支持各类文艺组织到农村开展惠民演出。</w:t>
            </w:r>
          </w:p>
        </w:tc>
        <w:tc>
          <w:tcPr>
            <w:tcW w:w="516" w:type="pct"/>
            <w:vAlign w:val="center"/>
          </w:tcPr>
          <w:p w14:paraId="0B3413D6">
            <w:pPr>
              <w:snapToGrid w:val="0"/>
              <w:jc w:val="center"/>
              <w:rPr>
                <w:rFonts w:ascii="宋体" w:hAnsi="宋体" w:eastAsia="宋体"/>
                <w:kern w:val="0"/>
                <w:szCs w:val="21"/>
              </w:rPr>
            </w:pPr>
            <w:r>
              <w:rPr>
                <w:rFonts w:hint="eastAsia" w:ascii="宋体" w:hAnsi="宋体" w:eastAsia="宋体"/>
                <w:kern w:val="0"/>
                <w:szCs w:val="21"/>
              </w:rPr>
              <w:t>2022-2035</w:t>
            </w:r>
          </w:p>
        </w:tc>
        <w:tc>
          <w:tcPr>
            <w:tcW w:w="402" w:type="pct"/>
            <w:vAlign w:val="center"/>
          </w:tcPr>
          <w:p w14:paraId="67E99DFB">
            <w:pPr>
              <w:snapToGrid w:val="0"/>
              <w:jc w:val="center"/>
              <w:rPr>
                <w:rFonts w:ascii="宋体" w:hAnsi="宋体" w:eastAsia="宋体"/>
                <w:kern w:val="0"/>
                <w:szCs w:val="21"/>
              </w:rPr>
            </w:pPr>
            <w:r>
              <w:rPr>
                <w:rFonts w:hint="eastAsia" w:ascii="宋体" w:hAnsi="宋体" w:eastAsia="宋体"/>
                <w:kern w:val="0"/>
                <w:szCs w:val="21"/>
              </w:rPr>
              <w:t>乡村</w:t>
            </w:r>
          </w:p>
        </w:tc>
        <w:tc>
          <w:tcPr>
            <w:tcW w:w="423" w:type="pct"/>
            <w:noWrap/>
            <w:vAlign w:val="center"/>
          </w:tcPr>
          <w:p w14:paraId="085E8A97">
            <w:pPr>
              <w:jc w:val="center"/>
              <w:rPr>
                <w:rFonts w:ascii="宋体" w:hAnsi="宋体" w:eastAsia="宋体"/>
                <w:kern w:val="0"/>
                <w:szCs w:val="21"/>
              </w:rPr>
            </w:pPr>
            <w:r>
              <w:rPr>
                <w:rFonts w:hint="eastAsia" w:ascii="宋体" w:hAnsi="宋体" w:eastAsia="宋体"/>
                <w:kern w:val="0"/>
                <w:szCs w:val="21"/>
              </w:rPr>
              <w:t>230</w:t>
            </w:r>
          </w:p>
        </w:tc>
        <w:tc>
          <w:tcPr>
            <w:tcW w:w="378" w:type="pct"/>
            <w:vAlign w:val="center"/>
          </w:tcPr>
          <w:p w14:paraId="2DF7859E">
            <w:pPr>
              <w:jc w:val="center"/>
              <w:rPr>
                <w:rFonts w:ascii="宋体" w:hAnsi="宋体" w:eastAsia="宋体"/>
                <w:kern w:val="0"/>
                <w:szCs w:val="21"/>
              </w:rPr>
            </w:pPr>
            <w:r>
              <w:rPr>
                <w:rFonts w:hint="eastAsia" w:ascii="宋体" w:hAnsi="宋体" w:eastAsia="宋体"/>
                <w:kern w:val="0"/>
                <w:szCs w:val="21"/>
              </w:rPr>
              <w:t>县文化局</w:t>
            </w:r>
          </w:p>
        </w:tc>
        <w:tc>
          <w:tcPr>
            <w:tcW w:w="368" w:type="pct"/>
            <w:vMerge w:val="continue"/>
            <w:vAlign w:val="center"/>
          </w:tcPr>
          <w:p w14:paraId="0BCDD22C">
            <w:pPr>
              <w:jc w:val="center"/>
              <w:rPr>
                <w:rFonts w:ascii="宋体" w:hAnsi="宋体" w:eastAsia="宋体"/>
                <w:kern w:val="0"/>
                <w:szCs w:val="21"/>
              </w:rPr>
            </w:pPr>
          </w:p>
        </w:tc>
      </w:tr>
      <w:tr w14:paraId="6A5C2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0" w:type="pct"/>
            <w:gridSpan w:val="4"/>
            <w:shd w:val="clear" w:color="auto" w:fill="auto"/>
            <w:vAlign w:val="center"/>
          </w:tcPr>
          <w:p w14:paraId="3553DCA0">
            <w:pPr>
              <w:jc w:val="center"/>
              <w:rPr>
                <w:rFonts w:ascii="宋体" w:hAnsi="宋体" w:eastAsia="宋体"/>
                <w:kern w:val="0"/>
                <w:szCs w:val="21"/>
              </w:rPr>
            </w:pPr>
            <w:r>
              <w:rPr>
                <w:rFonts w:hint="eastAsia" w:ascii="宋体" w:hAnsi="宋体" w:eastAsia="宋体"/>
                <w:b/>
                <w:bCs/>
                <w:kern w:val="0"/>
                <w:szCs w:val="21"/>
              </w:rPr>
              <w:t>合计</w:t>
            </w:r>
          </w:p>
        </w:tc>
        <w:tc>
          <w:tcPr>
            <w:tcW w:w="516" w:type="pct"/>
            <w:vAlign w:val="center"/>
          </w:tcPr>
          <w:p w14:paraId="6D43BC5D">
            <w:pPr>
              <w:snapToGrid w:val="0"/>
              <w:jc w:val="center"/>
              <w:rPr>
                <w:rFonts w:ascii="宋体" w:hAnsi="宋体" w:eastAsia="宋体"/>
                <w:kern w:val="0"/>
                <w:szCs w:val="21"/>
              </w:rPr>
            </w:pPr>
          </w:p>
        </w:tc>
        <w:tc>
          <w:tcPr>
            <w:tcW w:w="402" w:type="pct"/>
            <w:vAlign w:val="center"/>
          </w:tcPr>
          <w:p w14:paraId="5A9E3E9C">
            <w:pPr>
              <w:snapToGrid w:val="0"/>
              <w:jc w:val="center"/>
              <w:rPr>
                <w:rFonts w:ascii="宋体" w:hAnsi="宋体" w:eastAsia="宋体"/>
                <w:kern w:val="0"/>
                <w:szCs w:val="21"/>
              </w:rPr>
            </w:pPr>
          </w:p>
        </w:tc>
        <w:tc>
          <w:tcPr>
            <w:tcW w:w="423" w:type="pct"/>
            <w:noWrap/>
            <w:vAlign w:val="center"/>
          </w:tcPr>
          <w:p w14:paraId="03D4C636">
            <w:pPr>
              <w:jc w:val="center"/>
              <w:rPr>
                <w:rFonts w:ascii="宋体" w:hAnsi="宋体" w:eastAsia="宋体"/>
                <w:kern w:val="0"/>
                <w:szCs w:val="21"/>
              </w:rPr>
            </w:pPr>
            <w:r>
              <w:rPr>
                <w:rFonts w:hint="eastAsia" w:ascii="宋体" w:hAnsi="宋体" w:eastAsia="宋体"/>
                <w:kern w:val="0"/>
                <w:szCs w:val="21"/>
              </w:rPr>
              <w:t>3980</w:t>
            </w:r>
          </w:p>
        </w:tc>
        <w:tc>
          <w:tcPr>
            <w:tcW w:w="378" w:type="pct"/>
            <w:vAlign w:val="center"/>
          </w:tcPr>
          <w:p w14:paraId="14C4A970">
            <w:pPr>
              <w:jc w:val="center"/>
              <w:rPr>
                <w:rFonts w:ascii="宋体" w:hAnsi="宋体" w:eastAsia="宋体"/>
                <w:kern w:val="0"/>
                <w:szCs w:val="21"/>
              </w:rPr>
            </w:pPr>
          </w:p>
        </w:tc>
        <w:tc>
          <w:tcPr>
            <w:tcW w:w="368" w:type="pct"/>
            <w:vAlign w:val="center"/>
          </w:tcPr>
          <w:p w14:paraId="57A4DA6B">
            <w:pPr>
              <w:jc w:val="center"/>
              <w:rPr>
                <w:rFonts w:ascii="宋体" w:hAnsi="宋体" w:eastAsia="宋体"/>
                <w:kern w:val="0"/>
                <w:szCs w:val="21"/>
              </w:rPr>
            </w:pPr>
          </w:p>
        </w:tc>
      </w:tr>
    </w:tbl>
    <w:p w14:paraId="6C1A1EB0">
      <w:pPr>
        <w:spacing w:before="240" w:beforeLines="100" w:line="579" w:lineRule="auto"/>
        <w:jc w:val="left"/>
        <w:outlineLvl w:val="0"/>
        <w:rPr>
          <w:rFonts w:ascii="宋体" w:hAnsi="宋体" w:eastAsia="宋体"/>
          <w:b/>
          <w:kern w:val="0"/>
          <w:sz w:val="36"/>
          <w:szCs w:val="36"/>
        </w:rPr>
      </w:pPr>
      <w:r>
        <w:rPr>
          <w:rFonts w:hint="eastAsia" w:ascii="宋体" w:hAnsi="宋体" w:eastAsia="宋体"/>
          <w:highlight w:val="yellow"/>
        </w:rPr>
        <w:br w:type="page"/>
      </w:r>
      <w:bookmarkStart w:id="309" w:name="_Toc1240"/>
      <w:bookmarkStart w:id="310" w:name="_Toc105576389"/>
      <w:r>
        <w:rPr>
          <w:rFonts w:hint="eastAsia" w:ascii="宋体" w:hAnsi="宋体" w:eastAsia="宋体"/>
          <w:b/>
          <w:bCs/>
          <w:kern w:val="44"/>
          <w:sz w:val="32"/>
          <w:szCs w:val="40"/>
        </w:rPr>
        <w:t>附表六  生态制度体系重点工程</w:t>
      </w:r>
      <w:bookmarkEnd w:id="309"/>
      <w:bookmarkEnd w:id="310"/>
    </w:p>
    <w:tbl>
      <w:tblPr>
        <w:tblStyle w:val="42"/>
        <w:tblpPr w:leftFromText="180" w:rightFromText="180" w:vertAnchor="text" w:tblpXSpec="center" w:tblpY="1"/>
        <w:tblOverlap w:val="never"/>
        <w:tblW w:w="475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
        <w:gridCol w:w="1382"/>
        <w:gridCol w:w="892"/>
        <w:gridCol w:w="6101"/>
        <w:gridCol w:w="1522"/>
        <w:gridCol w:w="1368"/>
        <w:gridCol w:w="1030"/>
        <w:gridCol w:w="1348"/>
      </w:tblGrid>
      <w:tr w14:paraId="5FC04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blHeader/>
          <w:jc w:val="center"/>
        </w:trPr>
        <w:tc>
          <w:tcPr>
            <w:tcW w:w="152" w:type="pct"/>
            <w:shd w:val="clear" w:color="000000" w:fill="FFFFFF"/>
            <w:vAlign w:val="center"/>
          </w:tcPr>
          <w:p w14:paraId="41183F2C">
            <w:pPr>
              <w:snapToGrid w:val="0"/>
              <w:jc w:val="center"/>
              <w:rPr>
                <w:rFonts w:ascii="宋体" w:hAnsi="宋体" w:eastAsia="宋体"/>
                <w:b/>
                <w:bCs/>
                <w:kern w:val="0"/>
                <w:szCs w:val="21"/>
              </w:rPr>
            </w:pPr>
            <w:r>
              <w:rPr>
                <w:rFonts w:hint="eastAsia" w:ascii="宋体" w:hAnsi="宋体" w:eastAsia="宋体"/>
                <w:b/>
                <w:bCs/>
                <w:kern w:val="0"/>
                <w:szCs w:val="21"/>
              </w:rPr>
              <w:t>序</w:t>
            </w:r>
          </w:p>
          <w:p w14:paraId="5A3C50ED">
            <w:pPr>
              <w:snapToGrid w:val="0"/>
              <w:jc w:val="center"/>
              <w:rPr>
                <w:rFonts w:ascii="宋体" w:hAnsi="宋体" w:eastAsia="宋体"/>
                <w:b/>
                <w:bCs/>
                <w:kern w:val="0"/>
                <w:szCs w:val="21"/>
              </w:rPr>
            </w:pPr>
            <w:r>
              <w:rPr>
                <w:rFonts w:hint="eastAsia" w:ascii="宋体" w:hAnsi="宋体" w:eastAsia="宋体"/>
                <w:b/>
                <w:bCs/>
                <w:kern w:val="0"/>
                <w:szCs w:val="21"/>
              </w:rPr>
              <w:t>号</w:t>
            </w:r>
          </w:p>
        </w:tc>
        <w:tc>
          <w:tcPr>
            <w:tcW w:w="491" w:type="pct"/>
            <w:shd w:val="clear" w:color="000000" w:fill="FFFFFF"/>
            <w:vAlign w:val="center"/>
          </w:tcPr>
          <w:p w14:paraId="56F97B0C">
            <w:pPr>
              <w:snapToGrid w:val="0"/>
              <w:jc w:val="center"/>
              <w:rPr>
                <w:rFonts w:ascii="宋体" w:hAnsi="宋体" w:eastAsia="宋体"/>
                <w:b/>
                <w:bCs/>
                <w:kern w:val="0"/>
                <w:szCs w:val="21"/>
              </w:rPr>
            </w:pPr>
            <w:r>
              <w:rPr>
                <w:rFonts w:hint="eastAsia" w:ascii="宋体" w:hAnsi="宋体" w:eastAsia="宋体"/>
                <w:b/>
                <w:bCs/>
                <w:kern w:val="0"/>
                <w:szCs w:val="21"/>
              </w:rPr>
              <w:t>项目名称</w:t>
            </w:r>
          </w:p>
        </w:tc>
        <w:tc>
          <w:tcPr>
            <w:tcW w:w="317" w:type="pct"/>
            <w:shd w:val="clear" w:color="000000" w:fill="FFFFFF"/>
            <w:vAlign w:val="center"/>
          </w:tcPr>
          <w:p w14:paraId="3BF26B3A">
            <w:pPr>
              <w:snapToGrid w:val="0"/>
              <w:jc w:val="center"/>
              <w:rPr>
                <w:rFonts w:ascii="宋体" w:hAnsi="宋体" w:eastAsia="宋体"/>
                <w:b/>
                <w:bCs/>
                <w:kern w:val="0"/>
                <w:szCs w:val="21"/>
              </w:rPr>
            </w:pPr>
            <w:r>
              <w:rPr>
                <w:rFonts w:hint="eastAsia" w:ascii="宋体" w:hAnsi="宋体" w:eastAsia="宋体"/>
                <w:b/>
                <w:bCs/>
                <w:kern w:val="0"/>
                <w:szCs w:val="21"/>
              </w:rPr>
              <w:t>建设</w:t>
            </w:r>
          </w:p>
          <w:p w14:paraId="5E08712D">
            <w:pPr>
              <w:snapToGrid w:val="0"/>
              <w:jc w:val="center"/>
              <w:rPr>
                <w:rFonts w:ascii="宋体" w:hAnsi="宋体" w:eastAsia="宋体"/>
                <w:b/>
                <w:bCs/>
                <w:kern w:val="0"/>
                <w:szCs w:val="21"/>
              </w:rPr>
            </w:pPr>
            <w:r>
              <w:rPr>
                <w:rFonts w:hint="eastAsia" w:ascii="宋体" w:hAnsi="宋体" w:eastAsia="宋体"/>
                <w:b/>
                <w:bCs/>
                <w:kern w:val="0"/>
                <w:szCs w:val="21"/>
              </w:rPr>
              <w:t>性质</w:t>
            </w:r>
          </w:p>
        </w:tc>
        <w:tc>
          <w:tcPr>
            <w:tcW w:w="2168" w:type="pct"/>
            <w:shd w:val="clear" w:color="000000" w:fill="FFFFFF"/>
            <w:vAlign w:val="center"/>
          </w:tcPr>
          <w:p w14:paraId="04EAB4C7">
            <w:pPr>
              <w:snapToGrid w:val="0"/>
              <w:jc w:val="center"/>
              <w:rPr>
                <w:rFonts w:ascii="宋体" w:hAnsi="宋体" w:eastAsia="宋体"/>
                <w:b/>
                <w:bCs/>
                <w:kern w:val="0"/>
                <w:szCs w:val="21"/>
              </w:rPr>
            </w:pPr>
            <w:r>
              <w:rPr>
                <w:rFonts w:hint="eastAsia" w:ascii="宋体" w:hAnsi="宋体" w:eastAsia="宋体"/>
                <w:b/>
                <w:bCs/>
                <w:kern w:val="0"/>
                <w:szCs w:val="21"/>
              </w:rPr>
              <w:t>建设内容和规模</w:t>
            </w:r>
          </w:p>
        </w:tc>
        <w:tc>
          <w:tcPr>
            <w:tcW w:w="541" w:type="pct"/>
            <w:shd w:val="clear" w:color="000000" w:fill="FFFFFF"/>
            <w:vAlign w:val="center"/>
          </w:tcPr>
          <w:p w14:paraId="3B25D936">
            <w:pPr>
              <w:snapToGrid w:val="0"/>
              <w:jc w:val="center"/>
              <w:rPr>
                <w:rFonts w:ascii="宋体" w:hAnsi="宋体" w:eastAsia="宋体"/>
                <w:b/>
                <w:bCs/>
                <w:kern w:val="0"/>
                <w:szCs w:val="21"/>
              </w:rPr>
            </w:pPr>
            <w:r>
              <w:rPr>
                <w:rFonts w:hint="eastAsia" w:ascii="宋体" w:hAnsi="宋体" w:eastAsia="宋体"/>
                <w:b/>
                <w:bCs/>
                <w:kern w:val="0"/>
                <w:szCs w:val="21"/>
              </w:rPr>
              <w:t>建设期限</w:t>
            </w:r>
          </w:p>
        </w:tc>
        <w:tc>
          <w:tcPr>
            <w:tcW w:w="486" w:type="pct"/>
            <w:shd w:val="clear" w:color="000000" w:fill="FFFFFF"/>
            <w:vAlign w:val="center"/>
          </w:tcPr>
          <w:p w14:paraId="360AB8D2">
            <w:pPr>
              <w:snapToGrid w:val="0"/>
              <w:jc w:val="center"/>
              <w:rPr>
                <w:rFonts w:ascii="宋体" w:hAnsi="宋体" w:eastAsia="宋体"/>
                <w:b/>
                <w:bCs/>
                <w:kern w:val="0"/>
                <w:szCs w:val="21"/>
              </w:rPr>
            </w:pPr>
            <w:r>
              <w:rPr>
                <w:rFonts w:hint="eastAsia" w:ascii="宋体" w:hAnsi="宋体" w:eastAsia="宋体"/>
                <w:b/>
                <w:bCs/>
                <w:kern w:val="0"/>
                <w:szCs w:val="21"/>
              </w:rPr>
              <w:t>建设地点</w:t>
            </w:r>
          </w:p>
        </w:tc>
        <w:tc>
          <w:tcPr>
            <w:tcW w:w="366" w:type="pct"/>
            <w:shd w:val="clear" w:color="000000" w:fill="FFFFFF"/>
            <w:vAlign w:val="center"/>
          </w:tcPr>
          <w:p w14:paraId="54611FB6">
            <w:pPr>
              <w:snapToGrid w:val="0"/>
              <w:jc w:val="center"/>
              <w:rPr>
                <w:rFonts w:ascii="宋体" w:hAnsi="宋体" w:eastAsia="宋体"/>
                <w:b/>
                <w:bCs/>
                <w:kern w:val="0"/>
                <w:szCs w:val="21"/>
              </w:rPr>
            </w:pPr>
            <w:r>
              <w:rPr>
                <w:rFonts w:hint="eastAsia" w:ascii="宋体" w:hAnsi="宋体" w:eastAsia="宋体"/>
                <w:b/>
                <w:bCs/>
                <w:kern w:val="0"/>
                <w:szCs w:val="21"/>
              </w:rPr>
              <w:t>总投资</w:t>
            </w:r>
          </w:p>
          <w:p w14:paraId="2D0A77A3">
            <w:pPr>
              <w:snapToGrid w:val="0"/>
              <w:jc w:val="center"/>
              <w:rPr>
                <w:rFonts w:ascii="宋体" w:hAnsi="宋体" w:eastAsia="宋体"/>
                <w:b/>
                <w:bCs/>
                <w:kern w:val="0"/>
                <w:szCs w:val="21"/>
              </w:rPr>
            </w:pPr>
            <w:r>
              <w:rPr>
                <w:rFonts w:hint="eastAsia" w:ascii="宋体" w:hAnsi="宋体" w:eastAsia="宋体"/>
                <w:b/>
                <w:bCs/>
                <w:kern w:val="0"/>
                <w:szCs w:val="21"/>
              </w:rPr>
              <w:t>（万元）</w:t>
            </w:r>
          </w:p>
        </w:tc>
        <w:tc>
          <w:tcPr>
            <w:tcW w:w="479" w:type="pct"/>
            <w:shd w:val="clear" w:color="000000" w:fill="FFFFFF"/>
            <w:vAlign w:val="center"/>
          </w:tcPr>
          <w:p w14:paraId="059C7EFC">
            <w:pPr>
              <w:snapToGrid w:val="0"/>
              <w:jc w:val="center"/>
              <w:rPr>
                <w:rFonts w:ascii="宋体" w:hAnsi="宋体" w:eastAsia="宋体"/>
                <w:b/>
                <w:bCs/>
                <w:kern w:val="0"/>
                <w:szCs w:val="21"/>
              </w:rPr>
            </w:pPr>
            <w:r>
              <w:rPr>
                <w:rFonts w:hint="eastAsia" w:ascii="宋体" w:hAnsi="宋体" w:eastAsia="宋体"/>
                <w:b/>
                <w:bCs/>
                <w:kern w:val="0"/>
                <w:szCs w:val="21"/>
              </w:rPr>
              <w:t>责任单位</w:t>
            </w:r>
          </w:p>
        </w:tc>
      </w:tr>
      <w:tr w14:paraId="27736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152" w:type="pct"/>
            <w:shd w:val="clear" w:color="auto" w:fill="auto"/>
            <w:vAlign w:val="center"/>
          </w:tcPr>
          <w:p w14:paraId="6EE60A59">
            <w:pPr>
              <w:numPr>
                <w:ilvl w:val="0"/>
                <w:numId w:val="8"/>
              </w:numPr>
              <w:ind w:left="0" w:firstLine="0"/>
              <w:jc w:val="center"/>
              <w:rPr>
                <w:rFonts w:ascii="宋体" w:hAnsi="宋体" w:eastAsia="宋体"/>
                <w:kern w:val="0"/>
                <w:szCs w:val="21"/>
              </w:rPr>
            </w:pPr>
            <w:r>
              <w:rPr>
                <w:rFonts w:hint="eastAsia" w:ascii="宋体" w:hAnsi="宋体" w:eastAsia="宋体"/>
                <w:kern w:val="0"/>
                <w:szCs w:val="21"/>
              </w:rPr>
              <w:t>1</w:t>
            </w:r>
          </w:p>
        </w:tc>
        <w:tc>
          <w:tcPr>
            <w:tcW w:w="491" w:type="pct"/>
            <w:shd w:val="clear" w:color="000000" w:fill="FFFFFF"/>
            <w:vAlign w:val="center"/>
          </w:tcPr>
          <w:p w14:paraId="0A27DD90">
            <w:pPr>
              <w:jc w:val="center"/>
              <w:rPr>
                <w:rFonts w:ascii="宋体" w:hAnsi="宋体" w:eastAsia="宋体"/>
                <w:szCs w:val="21"/>
              </w:rPr>
            </w:pPr>
            <w:r>
              <w:rPr>
                <w:rFonts w:hint="eastAsia" w:ascii="宋体" w:hAnsi="宋体" w:eastAsia="宋体"/>
                <w:szCs w:val="21"/>
              </w:rPr>
              <w:t>自然资源资产负债表编制项目</w:t>
            </w:r>
          </w:p>
        </w:tc>
        <w:tc>
          <w:tcPr>
            <w:tcW w:w="317" w:type="pct"/>
            <w:shd w:val="clear" w:color="000000" w:fill="FFFFFF"/>
            <w:vAlign w:val="center"/>
          </w:tcPr>
          <w:p w14:paraId="366BA013">
            <w:pPr>
              <w:jc w:val="center"/>
              <w:rPr>
                <w:rFonts w:ascii="宋体" w:hAnsi="宋体" w:eastAsia="宋体"/>
                <w:szCs w:val="21"/>
              </w:rPr>
            </w:pPr>
          </w:p>
        </w:tc>
        <w:tc>
          <w:tcPr>
            <w:tcW w:w="2168" w:type="pct"/>
            <w:shd w:val="clear" w:color="000000" w:fill="FFFFFF"/>
            <w:vAlign w:val="center"/>
          </w:tcPr>
          <w:p w14:paraId="59E8CCAC">
            <w:pPr>
              <w:rPr>
                <w:rFonts w:ascii="宋体" w:hAnsi="宋体" w:eastAsia="宋体"/>
                <w:szCs w:val="21"/>
              </w:rPr>
            </w:pPr>
            <w:r>
              <w:rPr>
                <w:rFonts w:hint="eastAsia" w:ascii="宋体" w:hAnsi="宋体" w:eastAsia="宋体"/>
                <w:szCs w:val="21"/>
              </w:rPr>
              <w:t>编制洛隆县自然资源资产负债表，重点核算区内林木资源、草地资源、湿地资源、土地资源、水资源等，建立实物量资产账户。</w:t>
            </w:r>
          </w:p>
        </w:tc>
        <w:tc>
          <w:tcPr>
            <w:tcW w:w="541" w:type="pct"/>
            <w:vAlign w:val="center"/>
          </w:tcPr>
          <w:p w14:paraId="5300BF2B">
            <w:pPr>
              <w:jc w:val="center"/>
              <w:rPr>
                <w:rFonts w:ascii="宋体" w:hAnsi="宋体" w:eastAsia="宋体"/>
                <w:szCs w:val="21"/>
              </w:rPr>
            </w:pPr>
            <w:r>
              <w:rPr>
                <w:rFonts w:hint="eastAsia" w:ascii="宋体" w:hAnsi="宋体" w:eastAsia="宋体"/>
                <w:szCs w:val="21"/>
              </w:rPr>
              <w:t>2022~2023</w:t>
            </w:r>
          </w:p>
        </w:tc>
        <w:tc>
          <w:tcPr>
            <w:tcW w:w="486" w:type="pct"/>
            <w:vAlign w:val="center"/>
          </w:tcPr>
          <w:p w14:paraId="5EB2C8E9">
            <w:pPr>
              <w:jc w:val="center"/>
              <w:rPr>
                <w:rFonts w:ascii="宋体" w:hAnsi="宋体" w:eastAsia="宋体"/>
                <w:szCs w:val="21"/>
              </w:rPr>
            </w:pPr>
            <w:r>
              <w:rPr>
                <w:rFonts w:hint="eastAsia" w:ascii="宋体" w:hAnsi="宋体" w:eastAsia="宋体"/>
                <w:szCs w:val="21"/>
              </w:rPr>
              <w:t>全县</w:t>
            </w:r>
          </w:p>
        </w:tc>
        <w:tc>
          <w:tcPr>
            <w:tcW w:w="366" w:type="pct"/>
            <w:noWrap/>
            <w:vAlign w:val="center"/>
          </w:tcPr>
          <w:p w14:paraId="0BD268E4">
            <w:pPr>
              <w:jc w:val="center"/>
              <w:rPr>
                <w:rFonts w:ascii="宋体" w:hAnsi="宋体" w:eastAsia="宋体"/>
                <w:szCs w:val="21"/>
              </w:rPr>
            </w:pPr>
            <w:r>
              <w:rPr>
                <w:rFonts w:hint="eastAsia" w:ascii="宋体" w:hAnsi="宋体" w:eastAsia="宋体"/>
                <w:szCs w:val="21"/>
              </w:rPr>
              <w:t>200</w:t>
            </w:r>
          </w:p>
        </w:tc>
        <w:tc>
          <w:tcPr>
            <w:tcW w:w="479" w:type="pct"/>
            <w:vAlign w:val="center"/>
          </w:tcPr>
          <w:p w14:paraId="220EA8EE">
            <w:pPr>
              <w:jc w:val="center"/>
              <w:rPr>
                <w:rFonts w:ascii="宋体" w:hAnsi="宋体" w:eastAsia="宋体"/>
                <w:szCs w:val="21"/>
              </w:rPr>
            </w:pPr>
            <w:r>
              <w:rPr>
                <w:rFonts w:hint="eastAsia" w:ascii="宋体" w:hAnsi="宋体" w:eastAsia="宋体"/>
                <w:szCs w:val="21"/>
              </w:rPr>
              <w:t>县统计局</w:t>
            </w:r>
          </w:p>
        </w:tc>
      </w:tr>
      <w:tr w14:paraId="1F778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52" w:type="pct"/>
            <w:shd w:val="clear" w:color="auto" w:fill="auto"/>
            <w:vAlign w:val="center"/>
          </w:tcPr>
          <w:p w14:paraId="11EF304B">
            <w:pPr>
              <w:numPr>
                <w:ilvl w:val="0"/>
                <w:numId w:val="8"/>
              </w:numPr>
              <w:ind w:left="0" w:firstLine="0"/>
              <w:jc w:val="center"/>
              <w:rPr>
                <w:rFonts w:ascii="宋体" w:hAnsi="宋体" w:eastAsia="宋体"/>
                <w:kern w:val="0"/>
                <w:szCs w:val="21"/>
              </w:rPr>
            </w:pPr>
          </w:p>
        </w:tc>
        <w:tc>
          <w:tcPr>
            <w:tcW w:w="491" w:type="pct"/>
            <w:shd w:val="clear" w:color="000000" w:fill="FFFFFF"/>
            <w:vAlign w:val="center"/>
          </w:tcPr>
          <w:p w14:paraId="201C6239">
            <w:pPr>
              <w:jc w:val="center"/>
              <w:rPr>
                <w:rFonts w:ascii="宋体" w:hAnsi="宋体" w:eastAsia="宋体"/>
                <w:szCs w:val="21"/>
              </w:rPr>
            </w:pPr>
            <w:r>
              <w:rPr>
                <w:rFonts w:hint="eastAsia" w:ascii="宋体" w:hAnsi="宋体" w:eastAsia="宋体"/>
                <w:szCs w:val="21"/>
              </w:rPr>
              <w:t>生态文明建设规划编制</w:t>
            </w:r>
          </w:p>
        </w:tc>
        <w:tc>
          <w:tcPr>
            <w:tcW w:w="317" w:type="pct"/>
            <w:shd w:val="clear" w:color="000000" w:fill="FFFFFF"/>
            <w:vAlign w:val="center"/>
          </w:tcPr>
          <w:p w14:paraId="7BF0E84A">
            <w:pPr>
              <w:jc w:val="center"/>
              <w:rPr>
                <w:rFonts w:ascii="宋体" w:hAnsi="宋体" w:eastAsia="宋体"/>
                <w:szCs w:val="21"/>
              </w:rPr>
            </w:pPr>
          </w:p>
        </w:tc>
        <w:tc>
          <w:tcPr>
            <w:tcW w:w="2168" w:type="pct"/>
            <w:shd w:val="clear" w:color="000000" w:fill="FFFFFF"/>
            <w:vAlign w:val="center"/>
          </w:tcPr>
          <w:p w14:paraId="640C58F0">
            <w:pPr>
              <w:rPr>
                <w:rFonts w:ascii="宋体" w:hAnsi="宋体" w:eastAsia="宋体"/>
                <w:szCs w:val="21"/>
              </w:rPr>
            </w:pPr>
            <w:r>
              <w:rPr>
                <w:rFonts w:hint="eastAsia" w:ascii="宋体" w:hAnsi="宋体" w:eastAsia="宋体"/>
                <w:szCs w:val="21"/>
              </w:rPr>
              <w:t>委托第三方按照国家生态文明建设示范市县规划编制指南科学编制洛隆县生态文明建设示范县规划。</w:t>
            </w:r>
          </w:p>
        </w:tc>
        <w:tc>
          <w:tcPr>
            <w:tcW w:w="541" w:type="pct"/>
            <w:vAlign w:val="center"/>
          </w:tcPr>
          <w:p w14:paraId="48BCEB58">
            <w:pPr>
              <w:jc w:val="center"/>
              <w:rPr>
                <w:rFonts w:ascii="宋体" w:hAnsi="宋体" w:eastAsia="宋体"/>
                <w:szCs w:val="21"/>
              </w:rPr>
            </w:pPr>
            <w:r>
              <w:rPr>
                <w:rFonts w:hint="eastAsia" w:ascii="宋体" w:hAnsi="宋体" w:eastAsia="宋体"/>
                <w:szCs w:val="21"/>
              </w:rPr>
              <w:t>2022</w:t>
            </w:r>
          </w:p>
        </w:tc>
        <w:tc>
          <w:tcPr>
            <w:tcW w:w="486" w:type="pct"/>
            <w:vAlign w:val="center"/>
          </w:tcPr>
          <w:p w14:paraId="129D67FD">
            <w:pPr>
              <w:jc w:val="center"/>
              <w:rPr>
                <w:rFonts w:ascii="宋体" w:hAnsi="宋体" w:eastAsia="宋体"/>
                <w:szCs w:val="21"/>
              </w:rPr>
            </w:pPr>
            <w:r>
              <w:rPr>
                <w:rFonts w:hint="eastAsia" w:ascii="宋体" w:hAnsi="宋体" w:eastAsia="宋体"/>
                <w:szCs w:val="21"/>
              </w:rPr>
              <w:t>全县</w:t>
            </w:r>
          </w:p>
        </w:tc>
        <w:tc>
          <w:tcPr>
            <w:tcW w:w="366" w:type="pct"/>
            <w:noWrap/>
            <w:vAlign w:val="center"/>
          </w:tcPr>
          <w:p w14:paraId="3BAB004B">
            <w:pPr>
              <w:jc w:val="center"/>
              <w:rPr>
                <w:rFonts w:ascii="宋体" w:hAnsi="宋体" w:eastAsia="宋体"/>
                <w:szCs w:val="21"/>
              </w:rPr>
            </w:pPr>
            <w:r>
              <w:rPr>
                <w:rFonts w:hint="eastAsia" w:ascii="宋体" w:hAnsi="宋体" w:eastAsia="宋体"/>
                <w:szCs w:val="21"/>
              </w:rPr>
              <w:t>150</w:t>
            </w:r>
          </w:p>
        </w:tc>
        <w:tc>
          <w:tcPr>
            <w:tcW w:w="479" w:type="pct"/>
            <w:vAlign w:val="center"/>
          </w:tcPr>
          <w:p w14:paraId="2A371D9B">
            <w:pPr>
              <w:jc w:val="center"/>
              <w:rPr>
                <w:rFonts w:ascii="宋体" w:hAnsi="宋体" w:eastAsia="宋体"/>
                <w:szCs w:val="21"/>
              </w:rPr>
            </w:pPr>
            <w:r>
              <w:rPr>
                <w:rFonts w:hint="eastAsia" w:ascii="宋体" w:hAnsi="宋体" w:eastAsia="宋体"/>
                <w:szCs w:val="21"/>
              </w:rPr>
              <w:t>县生态环境局</w:t>
            </w:r>
          </w:p>
        </w:tc>
      </w:tr>
      <w:tr w14:paraId="63E8A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3128" w:type="pct"/>
            <w:gridSpan w:val="4"/>
            <w:shd w:val="clear" w:color="auto" w:fill="auto"/>
            <w:vAlign w:val="center"/>
          </w:tcPr>
          <w:p w14:paraId="4878E7A3">
            <w:pPr>
              <w:jc w:val="center"/>
              <w:rPr>
                <w:rFonts w:ascii="宋体" w:hAnsi="宋体" w:eastAsia="宋体"/>
                <w:kern w:val="0"/>
                <w:szCs w:val="21"/>
              </w:rPr>
            </w:pPr>
            <w:r>
              <w:rPr>
                <w:rFonts w:hint="eastAsia" w:ascii="宋体" w:hAnsi="宋体" w:eastAsia="宋体"/>
                <w:b/>
                <w:bCs/>
                <w:kern w:val="0"/>
                <w:szCs w:val="21"/>
              </w:rPr>
              <w:t>合计</w:t>
            </w:r>
          </w:p>
        </w:tc>
        <w:tc>
          <w:tcPr>
            <w:tcW w:w="541" w:type="pct"/>
            <w:vAlign w:val="center"/>
          </w:tcPr>
          <w:p w14:paraId="615B20AB">
            <w:pPr>
              <w:snapToGrid w:val="0"/>
              <w:jc w:val="center"/>
              <w:rPr>
                <w:rFonts w:ascii="宋体" w:hAnsi="宋体" w:eastAsia="宋体"/>
                <w:kern w:val="0"/>
                <w:szCs w:val="21"/>
              </w:rPr>
            </w:pPr>
          </w:p>
        </w:tc>
        <w:tc>
          <w:tcPr>
            <w:tcW w:w="486" w:type="pct"/>
            <w:vAlign w:val="center"/>
          </w:tcPr>
          <w:p w14:paraId="000132C4">
            <w:pPr>
              <w:snapToGrid w:val="0"/>
              <w:jc w:val="center"/>
              <w:rPr>
                <w:rFonts w:ascii="宋体" w:hAnsi="宋体" w:eastAsia="宋体"/>
                <w:kern w:val="0"/>
                <w:szCs w:val="21"/>
              </w:rPr>
            </w:pPr>
          </w:p>
        </w:tc>
        <w:tc>
          <w:tcPr>
            <w:tcW w:w="366" w:type="pct"/>
            <w:noWrap/>
            <w:vAlign w:val="center"/>
          </w:tcPr>
          <w:p w14:paraId="4905393B">
            <w:pPr>
              <w:jc w:val="center"/>
              <w:rPr>
                <w:rFonts w:ascii="宋体" w:hAnsi="宋体" w:eastAsia="宋体"/>
                <w:kern w:val="0"/>
                <w:szCs w:val="21"/>
              </w:rPr>
            </w:pPr>
            <w:r>
              <w:rPr>
                <w:rFonts w:hint="eastAsia" w:ascii="宋体" w:hAnsi="宋体" w:eastAsia="宋体"/>
                <w:kern w:val="0"/>
                <w:szCs w:val="21"/>
              </w:rPr>
              <w:t>350</w:t>
            </w:r>
          </w:p>
        </w:tc>
        <w:tc>
          <w:tcPr>
            <w:tcW w:w="479" w:type="pct"/>
            <w:vAlign w:val="center"/>
          </w:tcPr>
          <w:p w14:paraId="687176D5">
            <w:pPr>
              <w:jc w:val="center"/>
              <w:rPr>
                <w:rFonts w:ascii="宋体" w:hAnsi="宋体" w:eastAsia="宋体"/>
                <w:kern w:val="0"/>
                <w:szCs w:val="21"/>
              </w:rPr>
            </w:pPr>
          </w:p>
        </w:tc>
      </w:tr>
    </w:tbl>
    <w:p w14:paraId="7076B9BE">
      <w:pPr>
        <w:pStyle w:val="27"/>
        <w:rPr>
          <w:rFonts w:ascii="Times New Roman" w:hAnsi="Times New Roman" w:cs="Times New Roman"/>
        </w:rPr>
      </w:pPr>
    </w:p>
    <w:sectPr>
      <w:pgSz w:w="16838" w:h="11906" w:orient="landscape"/>
      <w:pgMar w:top="1417" w:right="1134" w:bottom="1417" w:left="1134"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onospace">
    <w:altName w:val="微软雅黑"/>
    <w:panose1 w:val="00000000000000000000"/>
    <w:charset w:val="00"/>
    <w:family w:val="auto"/>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 w:name="΢   ź">
    <w:altName w:val="Times New Roman"/>
    <w:panose1 w:val="00000000000000000000"/>
    <w:charset w:val="00"/>
    <w:family w:val="roman"/>
    <w:pitch w:val="default"/>
    <w:sig w:usb0="00000000" w:usb1="00000000" w:usb2="00000000" w:usb3="00000000" w:csb0="00040001" w:csb1="00000000"/>
  </w:font>
  <w:font w:name="Arail">
    <w:altName w:val="微软雅黑"/>
    <w:panose1 w:val="00000000000000000000"/>
    <w:charset w:val="00"/>
    <w:family w:val="auto"/>
    <w:pitch w:val="default"/>
    <w:sig w:usb0="00000000" w:usb1="00000000" w:usb2="00000000" w:usb3="00000000" w:csb0="00040001" w:csb1="00000000"/>
  </w:font>
  <w:font w:name="方正仿宋简体">
    <w:altName w:val="微软雅黑"/>
    <w:panose1 w:val="00000000000000000000"/>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等线 Light">
    <w:panose1 w:val="02010600030101010101"/>
    <w:charset w:val="86"/>
    <w:family w:val="auto"/>
    <w:pitch w:val="default"/>
    <w:sig w:usb0="A00002BF" w:usb1="38CF7CFA" w:usb2="00000016" w:usb3="00000000" w:csb0="0004000F" w:csb1="00000000"/>
  </w:font>
  <w:font w:name="华文细黑">
    <w:altName w:val="微软雅黑"/>
    <w:panose1 w:val="02010600040101010101"/>
    <w:charset w:val="86"/>
    <w:family w:val="auto"/>
    <w:pitch w:val="default"/>
    <w:sig w:usb0="00000000" w:usb1="00000000" w:usb2="00000010" w:usb3="00000000" w:csb0="0004009F" w:csb1="00000000"/>
  </w:font>
  <w:font w:name="方正小标宋简体">
    <w:panose1 w:val="00000600000000000000"/>
    <w:charset w:val="86"/>
    <w:family w:val="auto"/>
    <w:pitch w:val="default"/>
    <w:sig w:usb0="800002BF" w:usb1="184F6CF8" w:usb2="00000012" w:usb3="00000000" w:csb0="00160001" w:csb1="1203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TimesNewRomanPSMT">
    <w:altName w:val="Times New Roman"/>
    <w:panose1 w:val="00000000000000000000"/>
    <w:charset w:val="00"/>
    <w:family w:val="auto"/>
    <w:pitch w:val="default"/>
    <w:sig w:usb0="00000000" w:usb1="00000000" w:usb2="00000010" w:usb3="00000000" w:csb0="00040000" w:csb1="00000000"/>
  </w:font>
  <w:font w:name="MingLiU">
    <w:altName w:val="PMingLiU-ExtB"/>
    <w:panose1 w:val="02010609000101010101"/>
    <w:charset w:val="88"/>
    <w:family w:val="modern"/>
    <w:pitch w:val="default"/>
    <w:sig w:usb0="00000000" w:usb1="00000000" w:usb2="00000016" w:usb3="00000000" w:csb0="00100001" w:csb1="00000000"/>
  </w:font>
  <w:font w:name="MS PGothic">
    <w:panose1 w:val="020B0600070205080204"/>
    <w:charset w:val="80"/>
    <w:family w:val="auto"/>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 w:name="PMingLiU-ExtB">
    <w:panose1 w:val="02020500000000000000"/>
    <w:charset w:val="88"/>
    <w:family w:val="auto"/>
    <w:pitch w:val="default"/>
    <w:sig w:usb0="8000002F" w:usb1="02000008" w:usb2="00000000" w:usb3="00000000" w:csb0="00100001"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3E8C92">
    <w:pPr>
      <w:pStyle w:val="28"/>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654685">
    <w:pPr>
      <w:pStyle w:val="28"/>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AB8B57">
    <w:pPr>
      <w:pStyle w:val="28"/>
      <w:rPr>
        <w:rFonts w:ascii="Times New Roman" w:hAnsi="Times New Roman" w:cs="Times New Roman"/>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23262101"/>
      <w:docPartObj>
        <w:docPartGallery w:val="autotext"/>
      </w:docPartObj>
    </w:sdtPr>
    <w:sdtContent>
      <w:p w14:paraId="738754FB">
        <w:pPr>
          <w:pStyle w:val="28"/>
          <w:jc w:val="center"/>
        </w:pPr>
        <w:r>
          <w:fldChar w:fldCharType="begin"/>
        </w:r>
        <w:r>
          <w:instrText xml:space="preserve">PAGE   \* MERGEFORMAT</w:instrText>
        </w:r>
        <w:r>
          <w:fldChar w:fldCharType="separate"/>
        </w:r>
        <w:r>
          <w:rPr>
            <w:lang w:val="zh-CN"/>
          </w:rPr>
          <w:t>2</w:t>
        </w:r>
        <w:r>
          <w:fldChar w:fldCharType="end"/>
        </w:r>
      </w:p>
    </w:sdtContent>
  </w:sdt>
  <w:p w14:paraId="5B1E8336">
    <w:pPr>
      <w:pStyle w:val="28"/>
      <w:rPr>
        <w:rFonts w:ascii="Times New Roman" w:hAnsi="Times New Roman" w:cs="Times New Roma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8305188"/>
      <w:docPartObj>
        <w:docPartGallery w:val="autotext"/>
      </w:docPartObj>
    </w:sdtPr>
    <w:sdtContent>
      <w:p w14:paraId="74837568">
        <w:pPr>
          <w:pStyle w:val="28"/>
          <w:jc w:val="center"/>
        </w:pPr>
        <w:r>
          <w:fldChar w:fldCharType="begin"/>
        </w:r>
        <w:r>
          <w:instrText xml:space="preserve">PAGE   \* MERGEFORMAT</w:instrText>
        </w:r>
        <w:r>
          <w:fldChar w:fldCharType="separate"/>
        </w:r>
        <w:r>
          <w:rPr>
            <w:lang w:val="zh-CN"/>
          </w:rPr>
          <w:t>2</w:t>
        </w:r>
        <w:r>
          <w:fldChar w:fldCharType="end"/>
        </w:r>
      </w:p>
    </w:sdtContent>
  </w:sdt>
  <w:p w14:paraId="5A864BE5">
    <w:pPr>
      <w:pStyle w:val="28"/>
      <w:rPr>
        <w:rFonts w:ascii="Times New Roman" w:hAnsi="Times New Roman"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B2806E">
    <w:pPr>
      <w:pStyle w:val="29"/>
      <w:pBdr>
        <w:bottom w:val="none" w:color="auto" w:sz="0" w:space="0"/>
      </w:pBdr>
      <w:tabs>
        <w:tab w:val="clear" w:pos="8306"/>
      </w:tabs>
      <w:jc w:val="left"/>
    </w:pPr>
    <w:r>
      <w:t xml:space="preserve">                                      </w:t>
    </w:r>
    <w:r>
      <w:rPr>
        <w:rFonts w:hint="eastAsia"/>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BD4398"/>
    <w:multiLevelType w:val="multilevel"/>
    <w:tmpl w:val="10BD4398"/>
    <w:lvl w:ilvl="0" w:tentative="0">
      <w:start w:val="1"/>
      <w:numFmt w:val="decimal"/>
      <w:lvlText w:val="%1."/>
      <w:lvlJc w:val="left"/>
      <w:pPr>
        <w:tabs>
          <w:tab w:val="left" w:pos="720"/>
        </w:tabs>
        <w:ind w:left="720" w:hanging="720"/>
      </w:pPr>
    </w:lvl>
    <w:lvl w:ilvl="1" w:tentative="0">
      <w:start w:val="1"/>
      <w:numFmt w:val="decimal"/>
      <w:pStyle w:val="5"/>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1">
    <w:nsid w:val="111167EE"/>
    <w:multiLevelType w:val="multilevel"/>
    <w:tmpl w:val="111167EE"/>
    <w:lvl w:ilvl="0" w:tentative="0">
      <w:start w:val="1"/>
      <w:numFmt w:val="decimal"/>
      <w:pStyle w:val="234"/>
      <w:lvlText w:val="图6-%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1953967"/>
    <w:multiLevelType w:val="multilevel"/>
    <w:tmpl w:val="11953967"/>
    <w:lvl w:ilvl="0" w:tentative="0">
      <w:start w:val="1"/>
      <w:numFmt w:val="decimal"/>
      <w:pStyle w:val="411"/>
      <w:lvlText w:val="第%1条"/>
      <w:lvlJc w:val="left"/>
      <w:pPr>
        <w:tabs>
          <w:tab w:val="left" w:pos="1447"/>
        </w:tabs>
        <w:ind w:left="1447" w:hanging="1021"/>
      </w:pPr>
      <w:rPr>
        <w:rFonts w:hint="default" w:ascii="黑体" w:hAnsi="黑体" w:eastAsia="黑体" w:cs="Times New Roman"/>
        <w:b w:val="0"/>
        <w:i w:val="0"/>
        <w:color w:val="000000"/>
        <w:sz w:val="30"/>
        <w:szCs w:val="30"/>
        <w:u w:val="none"/>
        <w:lang w:val="en-US"/>
      </w:rPr>
    </w:lvl>
    <w:lvl w:ilvl="1" w:tentative="0">
      <w:start w:val="1"/>
      <w:numFmt w:val="decimal"/>
      <w:lvlText w:val="%2."/>
      <w:lvlJc w:val="left"/>
      <w:pPr>
        <w:tabs>
          <w:tab w:val="left" w:pos="1680"/>
        </w:tabs>
        <w:ind w:left="1680" w:hanging="420"/>
      </w:pPr>
      <w:rPr>
        <w:rFonts w:hint="eastAsia"/>
        <w:b/>
        <w:i w:val="0"/>
        <w:color w:val="000000"/>
        <w:sz w:val="24"/>
        <w:szCs w:val="24"/>
        <w:u w:val="none"/>
        <w:lang w:val="en-US"/>
      </w:rPr>
    </w:lvl>
    <w:lvl w:ilvl="2" w:tentative="0">
      <w:start w:val="1"/>
      <w:numFmt w:val="decimal"/>
      <w:lvlText w:val="（%3）"/>
      <w:lvlJc w:val="left"/>
      <w:pPr>
        <w:tabs>
          <w:tab w:val="left" w:pos="2400"/>
        </w:tabs>
        <w:ind w:left="2400" w:hanging="720"/>
      </w:pPr>
      <w:rPr>
        <w:rFonts w:hint="eastAsia"/>
        <w:lang w:val="en-US"/>
      </w:rPr>
    </w:lvl>
    <w:lvl w:ilvl="3" w:tentative="0">
      <w:start w:val="1"/>
      <w:numFmt w:val="decimal"/>
      <w:lvlText w:val="(%4)"/>
      <w:lvlJc w:val="left"/>
      <w:pPr>
        <w:tabs>
          <w:tab w:val="left" w:pos="2460"/>
        </w:tabs>
        <w:ind w:left="2460" w:hanging="360"/>
      </w:pPr>
      <w:rPr>
        <w:rFonts w:hint="eastAsia"/>
      </w:rPr>
    </w:lvl>
    <w:lvl w:ilvl="4" w:tentative="0">
      <w:start w:val="1"/>
      <w:numFmt w:val="decimal"/>
      <w:lvlText w:val="%5、"/>
      <w:lvlJc w:val="left"/>
      <w:pPr>
        <w:tabs>
          <w:tab w:val="left" w:pos="2880"/>
        </w:tabs>
        <w:ind w:left="2880" w:hanging="360"/>
      </w:pPr>
      <w:rPr>
        <w:rFonts w:hint="eastAsia"/>
      </w:rPr>
    </w:lvl>
    <w:lvl w:ilvl="5" w:tentative="0">
      <w:start w:val="1"/>
      <w:numFmt w:val="japaneseCounting"/>
      <w:lvlText w:val="第%6章"/>
      <w:lvlJc w:val="left"/>
      <w:pPr>
        <w:tabs>
          <w:tab w:val="left" w:pos="4065"/>
        </w:tabs>
        <w:ind w:left="4065" w:hanging="1125"/>
      </w:pPr>
      <w:rPr>
        <w:rFonts w:hint="default"/>
      </w:r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3">
    <w:nsid w:val="11CF4BF8"/>
    <w:multiLevelType w:val="singleLevel"/>
    <w:tmpl w:val="11CF4BF8"/>
    <w:lvl w:ilvl="0" w:tentative="0">
      <w:start w:val="2"/>
      <w:numFmt w:val="chineseCounting"/>
      <w:suff w:val="nothing"/>
      <w:lvlText w:val="（%1）"/>
      <w:lvlJc w:val="left"/>
      <w:pPr>
        <w:ind w:left="800" w:firstLine="0"/>
      </w:pPr>
      <w:rPr>
        <w:rFonts w:hint="eastAsia"/>
      </w:rPr>
    </w:lvl>
  </w:abstractNum>
  <w:abstractNum w:abstractNumId="4">
    <w:nsid w:val="3E6432D6"/>
    <w:multiLevelType w:val="multilevel"/>
    <w:tmpl w:val="3E6432D6"/>
    <w:lvl w:ilvl="0" w:tentative="0">
      <w:start w:val="1"/>
      <w:numFmt w:val="decimal"/>
      <w:pStyle w:val="224"/>
      <w:lvlText w:val="图3-%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42155F67"/>
    <w:multiLevelType w:val="multilevel"/>
    <w:tmpl w:val="42155F67"/>
    <w:lvl w:ilvl="0" w:tentative="0">
      <w:start w:val="1"/>
      <w:numFmt w:val="japaneseCounting"/>
      <w:pStyle w:val="483"/>
      <w:lvlText w:val="（%1）"/>
      <w:lvlJc w:val="left"/>
      <w:pPr>
        <w:ind w:left="900" w:hanging="90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631A397E"/>
    <w:multiLevelType w:val="multilevel"/>
    <w:tmpl w:val="631A397E"/>
    <w:lvl w:ilvl="0" w:tentative="0">
      <w:start w:val="1"/>
      <w:numFmt w:val="decimal"/>
      <w:pStyle w:val="156"/>
      <w:lvlText w:val="表2-%1"/>
      <w:lvlJc w:val="left"/>
      <w:pPr>
        <w:ind w:left="6941" w:hanging="420"/>
      </w:pPr>
      <w:rPr>
        <w:rFonts w:ascii="Times New Roman" w:hAnsi="Times New Roman" w:cs="Times New Roman"/>
        <w:b w:val="0"/>
        <w:bCs w:val="0"/>
        <w:i w:val="0"/>
        <w:iCs w:val="0"/>
        <w:caps w:val="0"/>
        <w:smallCaps w:val="0"/>
        <w:strike w:val="0"/>
        <w:dstrike w:val="0"/>
        <w:vanish w:val="0"/>
        <w:color w:val="000000"/>
        <w:spacing w:val="0"/>
        <w:position w:val="0"/>
        <w:u w:val="none"/>
        <w:vertAlign w:val="baseli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7412728E"/>
    <w:multiLevelType w:val="singleLevel"/>
    <w:tmpl w:val="7412728E"/>
    <w:lvl w:ilvl="0" w:tentative="0">
      <w:start w:val="1"/>
      <w:numFmt w:val="decimal"/>
      <w:lvlText w:val="%1."/>
      <w:lvlJc w:val="left"/>
      <w:pPr>
        <w:ind w:left="425" w:hanging="425"/>
      </w:pPr>
      <w:rPr>
        <w:rFonts w:hint="default"/>
      </w:rPr>
    </w:lvl>
  </w:abstractNum>
  <w:num w:numId="1">
    <w:abstractNumId w:val="0"/>
  </w:num>
  <w:num w:numId="2">
    <w:abstractNumId w:val="6"/>
  </w:num>
  <w:num w:numId="3">
    <w:abstractNumId w:val="4"/>
  </w:num>
  <w:num w:numId="4">
    <w:abstractNumId w:val="1"/>
  </w:num>
  <w:num w:numId="5">
    <w:abstractNumId w:val="2"/>
  </w:num>
  <w:num w:numId="6">
    <w:abstractNumId w:val="5"/>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BiYTU5YzVhZTUwZjE1NGQxY2VhNzNjOWM1ZGE4NWMifQ=="/>
  </w:docVars>
  <w:rsids>
    <w:rsidRoot w:val="00EE4D59"/>
    <w:rsid w:val="000012D6"/>
    <w:rsid w:val="0000273C"/>
    <w:rsid w:val="00003D5E"/>
    <w:rsid w:val="00003FF3"/>
    <w:rsid w:val="00005D28"/>
    <w:rsid w:val="000070A2"/>
    <w:rsid w:val="00007365"/>
    <w:rsid w:val="00007B43"/>
    <w:rsid w:val="000133F6"/>
    <w:rsid w:val="00015B5D"/>
    <w:rsid w:val="00016F86"/>
    <w:rsid w:val="00021AF8"/>
    <w:rsid w:val="00021BAD"/>
    <w:rsid w:val="00022BFA"/>
    <w:rsid w:val="00023171"/>
    <w:rsid w:val="00024FBA"/>
    <w:rsid w:val="0002506A"/>
    <w:rsid w:val="00025AD1"/>
    <w:rsid w:val="000266E4"/>
    <w:rsid w:val="000304F7"/>
    <w:rsid w:val="00031E10"/>
    <w:rsid w:val="000320D0"/>
    <w:rsid w:val="00034CA7"/>
    <w:rsid w:val="0003626B"/>
    <w:rsid w:val="0003790C"/>
    <w:rsid w:val="00042ED1"/>
    <w:rsid w:val="00046042"/>
    <w:rsid w:val="0005079B"/>
    <w:rsid w:val="000518B3"/>
    <w:rsid w:val="00052782"/>
    <w:rsid w:val="00053170"/>
    <w:rsid w:val="00056C79"/>
    <w:rsid w:val="0006111E"/>
    <w:rsid w:val="00071636"/>
    <w:rsid w:val="00075DEA"/>
    <w:rsid w:val="0007770C"/>
    <w:rsid w:val="0008239E"/>
    <w:rsid w:val="0008487D"/>
    <w:rsid w:val="00085562"/>
    <w:rsid w:val="000865CA"/>
    <w:rsid w:val="0009172E"/>
    <w:rsid w:val="00091D44"/>
    <w:rsid w:val="0009233A"/>
    <w:rsid w:val="000924F6"/>
    <w:rsid w:val="00093325"/>
    <w:rsid w:val="0009336D"/>
    <w:rsid w:val="0009384C"/>
    <w:rsid w:val="0009395C"/>
    <w:rsid w:val="0009408C"/>
    <w:rsid w:val="000954BE"/>
    <w:rsid w:val="00095664"/>
    <w:rsid w:val="00095D74"/>
    <w:rsid w:val="00096199"/>
    <w:rsid w:val="00096898"/>
    <w:rsid w:val="000A3367"/>
    <w:rsid w:val="000A397F"/>
    <w:rsid w:val="000A43C9"/>
    <w:rsid w:val="000A6766"/>
    <w:rsid w:val="000B0FC0"/>
    <w:rsid w:val="000B131F"/>
    <w:rsid w:val="000B2718"/>
    <w:rsid w:val="000B6090"/>
    <w:rsid w:val="000B6376"/>
    <w:rsid w:val="000B65B7"/>
    <w:rsid w:val="000C34D6"/>
    <w:rsid w:val="000C430A"/>
    <w:rsid w:val="000C7612"/>
    <w:rsid w:val="000D0DAC"/>
    <w:rsid w:val="000D126A"/>
    <w:rsid w:val="000D3301"/>
    <w:rsid w:val="000D3A92"/>
    <w:rsid w:val="000D40FF"/>
    <w:rsid w:val="000D4C9F"/>
    <w:rsid w:val="000D5BAD"/>
    <w:rsid w:val="000D6448"/>
    <w:rsid w:val="000D667E"/>
    <w:rsid w:val="000D672C"/>
    <w:rsid w:val="000E059A"/>
    <w:rsid w:val="000E0A44"/>
    <w:rsid w:val="000E227F"/>
    <w:rsid w:val="000E2512"/>
    <w:rsid w:val="000E2643"/>
    <w:rsid w:val="000E4F9A"/>
    <w:rsid w:val="000E6699"/>
    <w:rsid w:val="000E6C96"/>
    <w:rsid w:val="000E790E"/>
    <w:rsid w:val="000F05C8"/>
    <w:rsid w:val="000F3C48"/>
    <w:rsid w:val="000F664A"/>
    <w:rsid w:val="000F6E14"/>
    <w:rsid w:val="000F71D0"/>
    <w:rsid w:val="001006F9"/>
    <w:rsid w:val="00100B36"/>
    <w:rsid w:val="00105BAA"/>
    <w:rsid w:val="001066AD"/>
    <w:rsid w:val="001075B5"/>
    <w:rsid w:val="001108C9"/>
    <w:rsid w:val="0011176A"/>
    <w:rsid w:val="00113FE4"/>
    <w:rsid w:val="00115CF9"/>
    <w:rsid w:val="001168A9"/>
    <w:rsid w:val="00117B19"/>
    <w:rsid w:val="00121224"/>
    <w:rsid w:val="00121398"/>
    <w:rsid w:val="0012396D"/>
    <w:rsid w:val="00123A5C"/>
    <w:rsid w:val="001249FE"/>
    <w:rsid w:val="00124B19"/>
    <w:rsid w:val="0012501B"/>
    <w:rsid w:val="00125848"/>
    <w:rsid w:val="0013234A"/>
    <w:rsid w:val="00133B01"/>
    <w:rsid w:val="00134488"/>
    <w:rsid w:val="00134519"/>
    <w:rsid w:val="00135248"/>
    <w:rsid w:val="00135920"/>
    <w:rsid w:val="00136763"/>
    <w:rsid w:val="001377A3"/>
    <w:rsid w:val="00140401"/>
    <w:rsid w:val="0014327E"/>
    <w:rsid w:val="00146B8F"/>
    <w:rsid w:val="00147B13"/>
    <w:rsid w:val="00147D1E"/>
    <w:rsid w:val="00150C6E"/>
    <w:rsid w:val="00152E39"/>
    <w:rsid w:val="001541B1"/>
    <w:rsid w:val="00155923"/>
    <w:rsid w:val="0015600D"/>
    <w:rsid w:val="00156552"/>
    <w:rsid w:val="001577D1"/>
    <w:rsid w:val="001604CB"/>
    <w:rsid w:val="00160F0E"/>
    <w:rsid w:val="00161496"/>
    <w:rsid w:val="0016169E"/>
    <w:rsid w:val="00163D11"/>
    <w:rsid w:val="00165309"/>
    <w:rsid w:val="0016669B"/>
    <w:rsid w:val="00167C3A"/>
    <w:rsid w:val="00172A6B"/>
    <w:rsid w:val="00175908"/>
    <w:rsid w:val="0017712D"/>
    <w:rsid w:val="00180F71"/>
    <w:rsid w:val="00180F76"/>
    <w:rsid w:val="0018299E"/>
    <w:rsid w:val="00183589"/>
    <w:rsid w:val="0018361B"/>
    <w:rsid w:val="00183CA7"/>
    <w:rsid w:val="0018645B"/>
    <w:rsid w:val="00186955"/>
    <w:rsid w:val="001871ED"/>
    <w:rsid w:val="00187F8A"/>
    <w:rsid w:val="00193E84"/>
    <w:rsid w:val="00195511"/>
    <w:rsid w:val="00197560"/>
    <w:rsid w:val="001A0DE5"/>
    <w:rsid w:val="001A0EF7"/>
    <w:rsid w:val="001A1BBE"/>
    <w:rsid w:val="001A1C1C"/>
    <w:rsid w:val="001A224E"/>
    <w:rsid w:val="001A381F"/>
    <w:rsid w:val="001A3CE0"/>
    <w:rsid w:val="001A45FD"/>
    <w:rsid w:val="001A6F18"/>
    <w:rsid w:val="001A6F21"/>
    <w:rsid w:val="001A7E3B"/>
    <w:rsid w:val="001B0567"/>
    <w:rsid w:val="001B20D0"/>
    <w:rsid w:val="001B2E00"/>
    <w:rsid w:val="001B48AF"/>
    <w:rsid w:val="001B4D84"/>
    <w:rsid w:val="001B6559"/>
    <w:rsid w:val="001C11B0"/>
    <w:rsid w:val="001C148A"/>
    <w:rsid w:val="001C3C8F"/>
    <w:rsid w:val="001C3EC8"/>
    <w:rsid w:val="001C48EE"/>
    <w:rsid w:val="001C4A95"/>
    <w:rsid w:val="001C5A9F"/>
    <w:rsid w:val="001C67B8"/>
    <w:rsid w:val="001C76F3"/>
    <w:rsid w:val="001D19EF"/>
    <w:rsid w:val="001D20CE"/>
    <w:rsid w:val="001D243A"/>
    <w:rsid w:val="001D3A0E"/>
    <w:rsid w:val="001D4AED"/>
    <w:rsid w:val="001D4C36"/>
    <w:rsid w:val="001D765C"/>
    <w:rsid w:val="001E07C1"/>
    <w:rsid w:val="001E0BA9"/>
    <w:rsid w:val="001E0C69"/>
    <w:rsid w:val="001E39AE"/>
    <w:rsid w:val="001E6F6C"/>
    <w:rsid w:val="001E78CE"/>
    <w:rsid w:val="001F013F"/>
    <w:rsid w:val="001F1518"/>
    <w:rsid w:val="001F3427"/>
    <w:rsid w:val="001F4A0E"/>
    <w:rsid w:val="001F6072"/>
    <w:rsid w:val="001F7B6A"/>
    <w:rsid w:val="001F7D0D"/>
    <w:rsid w:val="0020307A"/>
    <w:rsid w:val="00203A5E"/>
    <w:rsid w:val="00204939"/>
    <w:rsid w:val="00205D0F"/>
    <w:rsid w:val="002068F1"/>
    <w:rsid w:val="0021135D"/>
    <w:rsid w:val="00212538"/>
    <w:rsid w:val="00214AB8"/>
    <w:rsid w:val="00214C44"/>
    <w:rsid w:val="00215160"/>
    <w:rsid w:val="00215ADA"/>
    <w:rsid w:val="002163B8"/>
    <w:rsid w:val="00223519"/>
    <w:rsid w:val="00223919"/>
    <w:rsid w:val="0022426D"/>
    <w:rsid w:val="00227FB9"/>
    <w:rsid w:val="00230F06"/>
    <w:rsid w:val="00234581"/>
    <w:rsid w:val="00237180"/>
    <w:rsid w:val="0024134E"/>
    <w:rsid w:val="0024136E"/>
    <w:rsid w:val="0024182A"/>
    <w:rsid w:val="00242A19"/>
    <w:rsid w:val="00242C43"/>
    <w:rsid w:val="002431D5"/>
    <w:rsid w:val="00243C92"/>
    <w:rsid w:val="00243E88"/>
    <w:rsid w:val="002440C9"/>
    <w:rsid w:val="00246206"/>
    <w:rsid w:val="00247715"/>
    <w:rsid w:val="002506DD"/>
    <w:rsid w:val="00253FCA"/>
    <w:rsid w:val="0025569C"/>
    <w:rsid w:val="002562CD"/>
    <w:rsid w:val="00256EC0"/>
    <w:rsid w:val="00257194"/>
    <w:rsid w:val="002609B3"/>
    <w:rsid w:val="00264080"/>
    <w:rsid w:val="00265D49"/>
    <w:rsid w:val="00267093"/>
    <w:rsid w:val="002674B0"/>
    <w:rsid w:val="00267DBA"/>
    <w:rsid w:val="0027040A"/>
    <w:rsid w:val="00272798"/>
    <w:rsid w:val="00272F6B"/>
    <w:rsid w:val="00274BE4"/>
    <w:rsid w:val="0027621A"/>
    <w:rsid w:val="00276B19"/>
    <w:rsid w:val="00280F12"/>
    <w:rsid w:val="00281373"/>
    <w:rsid w:val="00286283"/>
    <w:rsid w:val="00287795"/>
    <w:rsid w:val="00287E9B"/>
    <w:rsid w:val="00295FDA"/>
    <w:rsid w:val="0029685E"/>
    <w:rsid w:val="002A07C3"/>
    <w:rsid w:val="002A3CD5"/>
    <w:rsid w:val="002A500E"/>
    <w:rsid w:val="002A6C69"/>
    <w:rsid w:val="002A7CFF"/>
    <w:rsid w:val="002B1184"/>
    <w:rsid w:val="002B351A"/>
    <w:rsid w:val="002B558D"/>
    <w:rsid w:val="002C0547"/>
    <w:rsid w:val="002C1426"/>
    <w:rsid w:val="002C2C8E"/>
    <w:rsid w:val="002C5521"/>
    <w:rsid w:val="002C6CC7"/>
    <w:rsid w:val="002C7015"/>
    <w:rsid w:val="002D03FF"/>
    <w:rsid w:val="002D13F0"/>
    <w:rsid w:val="002D42B3"/>
    <w:rsid w:val="002E4435"/>
    <w:rsid w:val="002E69FC"/>
    <w:rsid w:val="002E7BE7"/>
    <w:rsid w:val="002F1D23"/>
    <w:rsid w:val="002F5679"/>
    <w:rsid w:val="002F5FCD"/>
    <w:rsid w:val="00300272"/>
    <w:rsid w:val="0030207A"/>
    <w:rsid w:val="00306A91"/>
    <w:rsid w:val="00307247"/>
    <w:rsid w:val="00312120"/>
    <w:rsid w:val="00313C69"/>
    <w:rsid w:val="0031484B"/>
    <w:rsid w:val="00316BB1"/>
    <w:rsid w:val="00317D3C"/>
    <w:rsid w:val="00320675"/>
    <w:rsid w:val="003206F2"/>
    <w:rsid w:val="0032110A"/>
    <w:rsid w:val="0032180E"/>
    <w:rsid w:val="00321F44"/>
    <w:rsid w:val="003233CA"/>
    <w:rsid w:val="00326944"/>
    <w:rsid w:val="00332638"/>
    <w:rsid w:val="00332889"/>
    <w:rsid w:val="003336E5"/>
    <w:rsid w:val="00334F86"/>
    <w:rsid w:val="00336089"/>
    <w:rsid w:val="0033666F"/>
    <w:rsid w:val="00337D61"/>
    <w:rsid w:val="00341C03"/>
    <w:rsid w:val="00341CA1"/>
    <w:rsid w:val="00341E6D"/>
    <w:rsid w:val="0034229C"/>
    <w:rsid w:val="00352758"/>
    <w:rsid w:val="003530AE"/>
    <w:rsid w:val="00355EF4"/>
    <w:rsid w:val="00357119"/>
    <w:rsid w:val="0036028E"/>
    <w:rsid w:val="00361324"/>
    <w:rsid w:val="00364413"/>
    <w:rsid w:val="0036599E"/>
    <w:rsid w:val="00365A64"/>
    <w:rsid w:val="00367601"/>
    <w:rsid w:val="00367DF7"/>
    <w:rsid w:val="00370C48"/>
    <w:rsid w:val="00371246"/>
    <w:rsid w:val="00372CB6"/>
    <w:rsid w:val="00374374"/>
    <w:rsid w:val="003756FD"/>
    <w:rsid w:val="00377E9A"/>
    <w:rsid w:val="003829F9"/>
    <w:rsid w:val="0038476D"/>
    <w:rsid w:val="00385C4A"/>
    <w:rsid w:val="00386E69"/>
    <w:rsid w:val="003914E8"/>
    <w:rsid w:val="00391B92"/>
    <w:rsid w:val="0039689F"/>
    <w:rsid w:val="00397892"/>
    <w:rsid w:val="003A03F5"/>
    <w:rsid w:val="003A112D"/>
    <w:rsid w:val="003A1ED2"/>
    <w:rsid w:val="003A2EB8"/>
    <w:rsid w:val="003A3D34"/>
    <w:rsid w:val="003A594F"/>
    <w:rsid w:val="003A679D"/>
    <w:rsid w:val="003A7FE0"/>
    <w:rsid w:val="003B07E0"/>
    <w:rsid w:val="003B114C"/>
    <w:rsid w:val="003B1CE0"/>
    <w:rsid w:val="003B56B0"/>
    <w:rsid w:val="003C0060"/>
    <w:rsid w:val="003C0639"/>
    <w:rsid w:val="003C1083"/>
    <w:rsid w:val="003C17C7"/>
    <w:rsid w:val="003C2467"/>
    <w:rsid w:val="003C3B1B"/>
    <w:rsid w:val="003C5755"/>
    <w:rsid w:val="003C6651"/>
    <w:rsid w:val="003C6F88"/>
    <w:rsid w:val="003C75C0"/>
    <w:rsid w:val="003C7EEC"/>
    <w:rsid w:val="003D0E77"/>
    <w:rsid w:val="003D208F"/>
    <w:rsid w:val="003D39A9"/>
    <w:rsid w:val="003E002A"/>
    <w:rsid w:val="003E22B0"/>
    <w:rsid w:val="003E2DC6"/>
    <w:rsid w:val="003E52AA"/>
    <w:rsid w:val="003E742C"/>
    <w:rsid w:val="003E79B6"/>
    <w:rsid w:val="003E7AE2"/>
    <w:rsid w:val="003F2818"/>
    <w:rsid w:val="003F4E9E"/>
    <w:rsid w:val="003F5D7B"/>
    <w:rsid w:val="00402C63"/>
    <w:rsid w:val="0040394E"/>
    <w:rsid w:val="00403E50"/>
    <w:rsid w:val="0040407E"/>
    <w:rsid w:val="00404ABF"/>
    <w:rsid w:val="0040571B"/>
    <w:rsid w:val="00406607"/>
    <w:rsid w:val="004078A3"/>
    <w:rsid w:val="00412643"/>
    <w:rsid w:val="00413E39"/>
    <w:rsid w:val="004142ED"/>
    <w:rsid w:val="00414796"/>
    <w:rsid w:val="00415648"/>
    <w:rsid w:val="00415CED"/>
    <w:rsid w:val="00416D78"/>
    <w:rsid w:val="00420C90"/>
    <w:rsid w:val="00424A7C"/>
    <w:rsid w:val="004257BA"/>
    <w:rsid w:val="0042747E"/>
    <w:rsid w:val="00427B34"/>
    <w:rsid w:val="0043068D"/>
    <w:rsid w:val="00431185"/>
    <w:rsid w:val="00431F48"/>
    <w:rsid w:val="0043351B"/>
    <w:rsid w:val="0043410E"/>
    <w:rsid w:val="00441148"/>
    <w:rsid w:val="004417DF"/>
    <w:rsid w:val="00442218"/>
    <w:rsid w:val="0044409A"/>
    <w:rsid w:val="0044642A"/>
    <w:rsid w:val="004464F3"/>
    <w:rsid w:val="004465A3"/>
    <w:rsid w:val="004513DA"/>
    <w:rsid w:val="00453572"/>
    <w:rsid w:val="00453B24"/>
    <w:rsid w:val="0045402A"/>
    <w:rsid w:val="004570E3"/>
    <w:rsid w:val="00460F51"/>
    <w:rsid w:val="004620B5"/>
    <w:rsid w:val="00463E40"/>
    <w:rsid w:val="004676D9"/>
    <w:rsid w:val="00467CB3"/>
    <w:rsid w:val="00473007"/>
    <w:rsid w:val="00474E03"/>
    <w:rsid w:val="00480182"/>
    <w:rsid w:val="004801E1"/>
    <w:rsid w:val="004808E3"/>
    <w:rsid w:val="00482CAF"/>
    <w:rsid w:val="004851D8"/>
    <w:rsid w:val="0048671C"/>
    <w:rsid w:val="0049154F"/>
    <w:rsid w:val="00493C72"/>
    <w:rsid w:val="004951C3"/>
    <w:rsid w:val="00495BF3"/>
    <w:rsid w:val="00496B48"/>
    <w:rsid w:val="004973D0"/>
    <w:rsid w:val="00497A40"/>
    <w:rsid w:val="004A4E1A"/>
    <w:rsid w:val="004A72B7"/>
    <w:rsid w:val="004B2CC3"/>
    <w:rsid w:val="004B2E2F"/>
    <w:rsid w:val="004B577D"/>
    <w:rsid w:val="004B5836"/>
    <w:rsid w:val="004B5A13"/>
    <w:rsid w:val="004B6670"/>
    <w:rsid w:val="004B758A"/>
    <w:rsid w:val="004B7BD0"/>
    <w:rsid w:val="004C0645"/>
    <w:rsid w:val="004C08BF"/>
    <w:rsid w:val="004C0BA6"/>
    <w:rsid w:val="004C3BDB"/>
    <w:rsid w:val="004C3DC0"/>
    <w:rsid w:val="004C4475"/>
    <w:rsid w:val="004C4BF6"/>
    <w:rsid w:val="004C523D"/>
    <w:rsid w:val="004D2B37"/>
    <w:rsid w:val="004D2D48"/>
    <w:rsid w:val="004D4D95"/>
    <w:rsid w:val="004D74B0"/>
    <w:rsid w:val="004E057E"/>
    <w:rsid w:val="004E248D"/>
    <w:rsid w:val="004E2721"/>
    <w:rsid w:val="004E6C9B"/>
    <w:rsid w:val="004F2BA7"/>
    <w:rsid w:val="004F47DC"/>
    <w:rsid w:val="005003E4"/>
    <w:rsid w:val="00503B2D"/>
    <w:rsid w:val="005057DF"/>
    <w:rsid w:val="00506A87"/>
    <w:rsid w:val="005119F6"/>
    <w:rsid w:val="0051335F"/>
    <w:rsid w:val="00514E31"/>
    <w:rsid w:val="005160F1"/>
    <w:rsid w:val="00517418"/>
    <w:rsid w:val="0051764E"/>
    <w:rsid w:val="0052364F"/>
    <w:rsid w:val="0052511E"/>
    <w:rsid w:val="005256AF"/>
    <w:rsid w:val="00525F7F"/>
    <w:rsid w:val="0052641A"/>
    <w:rsid w:val="00526B6B"/>
    <w:rsid w:val="00527365"/>
    <w:rsid w:val="005274BD"/>
    <w:rsid w:val="005353D1"/>
    <w:rsid w:val="005365DF"/>
    <w:rsid w:val="005372F7"/>
    <w:rsid w:val="0054508C"/>
    <w:rsid w:val="0055058D"/>
    <w:rsid w:val="00551335"/>
    <w:rsid w:val="00551F30"/>
    <w:rsid w:val="00553C4E"/>
    <w:rsid w:val="005542E3"/>
    <w:rsid w:val="0055595D"/>
    <w:rsid w:val="00557AED"/>
    <w:rsid w:val="005607DE"/>
    <w:rsid w:val="00566210"/>
    <w:rsid w:val="005666BF"/>
    <w:rsid w:val="00567C8F"/>
    <w:rsid w:val="00570341"/>
    <w:rsid w:val="00573E26"/>
    <w:rsid w:val="00574713"/>
    <w:rsid w:val="00575E69"/>
    <w:rsid w:val="005763C1"/>
    <w:rsid w:val="00577818"/>
    <w:rsid w:val="005813E7"/>
    <w:rsid w:val="00583079"/>
    <w:rsid w:val="00587048"/>
    <w:rsid w:val="00590B24"/>
    <w:rsid w:val="0059134C"/>
    <w:rsid w:val="00591D59"/>
    <w:rsid w:val="00592C97"/>
    <w:rsid w:val="0059413D"/>
    <w:rsid w:val="00594EAE"/>
    <w:rsid w:val="0059529D"/>
    <w:rsid w:val="005A33D9"/>
    <w:rsid w:val="005A4DF0"/>
    <w:rsid w:val="005A6EAC"/>
    <w:rsid w:val="005B04F7"/>
    <w:rsid w:val="005B106A"/>
    <w:rsid w:val="005B2C6A"/>
    <w:rsid w:val="005B3B38"/>
    <w:rsid w:val="005B56FC"/>
    <w:rsid w:val="005B74C1"/>
    <w:rsid w:val="005C5EF9"/>
    <w:rsid w:val="005D5D2D"/>
    <w:rsid w:val="005D7C59"/>
    <w:rsid w:val="005E3009"/>
    <w:rsid w:val="005E36DB"/>
    <w:rsid w:val="005F0757"/>
    <w:rsid w:val="005F1273"/>
    <w:rsid w:val="005F12C1"/>
    <w:rsid w:val="005F3D78"/>
    <w:rsid w:val="005F7913"/>
    <w:rsid w:val="00600F81"/>
    <w:rsid w:val="006024A2"/>
    <w:rsid w:val="00602C6B"/>
    <w:rsid w:val="006043DC"/>
    <w:rsid w:val="006043EB"/>
    <w:rsid w:val="0060459F"/>
    <w:rsid w:val="00604AF8"/>
    <w:rsid w:val="00605275"/>
    <w:rsid w:val="00605302"/>
    <w:rsid w:val="00605F62"/>
    <w:rsid w:val="00610B8C"/>
    <w:rsid w:val="00610CAC"/>
    <w:rsid w:val="00613C11"/>
    <w:rsid w:val="00613CEB"/>
    <w:rsid w:val="00616C11"/>
    <w:rsid w:val="0061760E"/>
    <w:rsid w:val="0061786E"/>
    <w:rsid w:val="00617CE8"/>
    <w:rsid w:val="006201D6"/>
    <w:rsid w:val="006225AF"/>
    <w:rsid w:val="00623262"/>
    <w:rsid w:val="00623A38"/>
    <w:rsid w:val="0062453B"/>
    <w:rsid w:val="006269E9"/>
    <w:rsid w:val="00626AE9"/>
    <w:rsid w:val="0063212E"/>
    <w:rsid w:val="00634723"/>
    <w:rsid w:val="00635EA7"/>
    <w:rsid w:val="0063706D"/>
    <w:rsid w:val="00642728"/>
    <w:rsid w:val="00642BF7"/>
    <w:rsid w:val="00644B72"/>
    <w:rsid w:val="00646ADC"/>
    <w:rsid w:val="0065115E"/>
    <w:rsid w:val="00651E18"/>
    <w:rsid w:val="006550D6"/>
    <w:rsid w:val="0065776D"/>
    <w:rsid w:val="00662F7E"/>
    <w:rsid w:val="00664341"/>
    <w:rsid w:val="006664E8"/>
    <w:rsid w:val="00667A0C"/>
    <w:rsid w:val="00673B4E"/>
    <w:rsid w:val="00676127"/>
    <w:rsid w:val="00680781"/>
    <w:rsid w:val="00680ED8"/>
    <w:rsid w:val="0068185A"/>
    <w:rsid w:val="00681A7E"/>
    <w:rsid w:val="00682995"/>
    <w:rsid w:val="00685F37"/>
    <w:rsid w:val="00686CDB"/>
    <w:rsid w:val="0069010D"/>
    <w:rsid w:val="006924E2"/>
    <w:rsid w:val="0069562A"/>
    <w:rsid w:val="00695A0A"/>
    <w:rsid w:val="0069630D"/>
    <w:rsid w:val="00697548"/>
    <w:rsid w:val="006976DD"/>
    <w:rsid w:val="00697A44"/>
    <w:rsid w:val="006A1813"/>
    <w:rsid w:val="006A3278"/>
    <w:rsid w:val="006A6323"/>
    <w:rsid w:val="006B0976"/>
    <w:rsid w:val="006B0D15"/>
    <w:rsid w:val="006B2B7C"/>
    <w:rsid w:val="006B351C"/>
    <w:rsid w:val="006B3D78"/>
    <w:rsid w:val="006B4046"/>
    <w:rsid w:val="006B49D2"/>
    <w:rsid w:val="006B616F"/>
    <w:rsid w:val="006C2208"/>
    <w:rsid w:val="006C444C"/>
    <w:rsid w:val="006C56E0"/>
    <w:rsid w:val="006C5BFE"/>
    <w:rsid w:val="006C65A5"/>
    <w:rsid w:val="006D131C"/>
    <w:rsid w:val="006D14C6"/>
    <w:rsid w:val="006D2211"/>
    <w:rsid w:val="006D4ED4"/>
    <w:rsid w:val="006D6776"/>
    <w:rsid w:val="006E0C71"/>
    <w:rsid w:val="006E0EF3"/>
    <w:rsid w:val="006E2561"/>
    <w:rsid w:val="006E28CA"/>
    <w:rsid w:val="006E2DFD"/>
    <w:rsid w:val="006E325E"/>
    <w:rsid w:val="006E455A"/>
    <w:rsid w:val="006E51F4"/>
    <w:rsid w:val="006E6F34"/>
    <w:rsid w:val="006E7C63"/>
    <w:rsid w:val="006F0110"/>
    <w:rsid w:val="006F072D"/>
    <w:rsid w:val="006F10D4"/>
    <w:rsid w:val="006F1598"/>
    <w:rsid w:val="006F1E3D"/>
    <w:rsid w:val="006F26EE"/>
    <w:rsid w:val="006F2AAC"/>
    <w:rsid w:val="006F2BF4"/>
    <w:rsid w:val="006F2E7C"/>
    <w:rsid w:val="006F32DB"/>
    <w:rsid w:val="006F4586"/>
    <w:rsid w:val="006F7862"/>
    <w:rsid w:val="006F7FF0"/>
    <w:rsid w:val="007004E5"/>
    <w:rsid w:val="00706EF9"/>
    <w:rsid w:val="007113D9"/>
    <w:rsid w:val="007132B8"/>
    <w:rsid w:val="00713773"/>
    <w:rsid w:val="00714730"/>
    <w:rsid w:val="00716115"/>
    <w:rsid w:val="00716120"/>
    <w:rsid w:val="0071634D"/>
    <w:rsid w:val="007216E2"/>
    <w:rsid w:val="00722B8D"/>
    <w:rsid w:val="007257C5"/>
    <w:rsid w:val="00727076"/>
    <w:rsid w:val="00731339"/>
    <w:rsid w:val="00731AF9"/>
    <w:rsid w:val="007346F2"/>
    <w:rsid w:val="007357FE"/>
    <w:rsid w:val="00737C63"/>
    <w:rsid w:val="0074118B"/>
    <w:rsid w:val="007414F4"/>
    <w:rsid w:val="00743BFA"/>
    <w:rsid w:val="00745028"/>
    <w:rsid w:val="0074512E"/>
    <w:rsid w:val="00745C22"/>
    <w:rsid w:val="00750A4D"/>
    <w:rsid w:val="0075229B"/>
    <w:rsid w:val="007522AB"/>
    <w:rsid w:val="00753F04"/>
    <w:rsid w:val="00756089"/>
    <w:rsid w:val="0075654F"/>
    <w:rsid w:val="00756683"/>
    <w:rsid w:val="00757D29"/>
    <w:rsid w:val="00757D8F"/>
    <w:rsid w:val="0076044E"/>
    <w:rsid w:val="00762144"/>
    <w:rsid w:val="007642E7"/>
    <w:rsid w:val="00764F52"/>
    <w:rsid w:val="00770200"/>
    <w:rsid w:val="007702F6"/>
    <w:rsid w:val="0077122F"/>
    <w:rsid w:val="00773C8A"/>
    <w:rsid w:val="00775566"/>
    <w:rsid w:val="00775F7D"/>
    <w:rsid w:val="007772B8"/>
    <w:rsid w:val="00777525"/>
    <w:rsid w:val="007815CF"/>
    <w:rsid w:val="00781D22"/>
    <w:rsid w:val="00782AE5"/>
    <w:rsid w:val="00784E4C"/>
    <w:rsid w:val="007853E0"/>
    <w:rsid w:val="00785BA5"/>
    <w:rsid w:val="00787814"/>
    <w:rsid w:val="00787C84"/>
    <w:rsid w:val="007955E1"/>
    <w:rsid w:val="00797EE1"/>
    <w:rsid w:val="007A267B"/>
    <w:rsid w:val="007A41C1"/>
    <w:rsid w:val="007A6FED"/>
    <w:rsid w:val="007B0054"/>
    <w:rsid w:val="007B1708"/>
    <w:rsid w:val="007B2192"/>
    <w:rsid w:val="007B3986"/>
    <w:rsid w:val="007B3DE7"/>
    <w:rsid w:val="007B5CDB"/>
    <w:rsid w:val="007C4781"/>
    <w:rsid w:val="007C67C1"/>
    <w:rsid w:val="007C686B"/>
    <w:rsid w:val="007D3920"/>
    <w:rsid w:val="007E19BB"/>
    <w:rsid w:val="007E2C72"/>
    <w:rsid w:val="007E44FE"/>
    <w:rsid w:val="007E47EF"/>
    <w:rsid w:val="007E4ED4"/>
    <w:rsid w:val="007E6C56"/>
    <w:rsid w:val="007E6F31"/>
    <w:rsid w:val="007F075F"/>
    <w:rsid w:val="007F0C68"/>
    <w:rsid w:val="007F2922"/>
    <w:rsid w:val="007F4BE9"/>
    <w:rsid w:val="007F7609"/>
    <w:rsid w:val="00800978"/>
    <w:rsid w:val="00802EFD"/>
    <w:rsid w:val="00804180"/>
    <w:rsid w:val="008048A1"/>
    <w:rsid w:val="008076DD"/>
    <w:rsid w:val="00807726"/>
    <w:rsid w:val="00807A3F"/>
    <w:rsid w:val="00810A56"/>
    <w:rsid w:val="00810AEA"/>
    <w:rsid w:val="00810C7E"/>
    <w:rsid w:val="0081104C"/>
    <w:rsid w:val="00812258"/>
    <w:rsid w:val="008156C1"/>
    <w:rsid w:val="008167AB"/>
    <w:rsid w:val="00816C5B"/>
    <w:rsid w:val="008172DB"/>
    <w:rsid w:val="008200E1"/>
    <w:rsid w:val="008208FD"/>
    <w:rsid w:val="00821B7F"/>
    <w:rsid w:val="00821FAE"/>
    <w:rsid w:val="00821FF3"/>
    <w:rsid w:val="00823C5A"/>
    <w:rsid w:val="0083023E"/>
    <w:rsid w:val="0083119F"/>
    <w:rsid w:val="00831584"/>
    <w:rsid w:val="008315EC"/>
    <w:rsid w:val="008325D9"/>
    <w:rsid w:val="0083361C"/>
    <w:rsid w:val="008363B0"/>
    <w:rsid w:val="00842B37"/>
    <w:rsid w:val="008443C1"/>
    <w:rsid w:val="0084574E"/>
    <w:rsid w:val="00850638"/>
    <w:rsid w:val="0085072C"/>
    <w:rsid w:val="00851769"/>
    <w:rsid w:val="00855ABA"/>
    <w:rsid w:val="0085634E"/>
    <w:rsid w:val="00860CC6"/>
    <w:rsid w:val="00863301"/>
    <w:rsid w:val="0086584D"/>
    <w:rsid w:val="00865890"/>
    <w:rsid w:val="00866080"/>
    <w:rsid w:val="00867145"/>
    <w:rsid w:val="00870B29"/>
    <w:rsid w:val="00871FD1"/>
    <w:rsid w:val="00872C24"/>
    <w:rsid w:val="0087384A"/>
    <w:rsid w:val="00875791"/>
    <w:rsid w:val="00875C65"/>
    <w:rsid w:val="00877BF5"/>
    <w:rsid w:val="00881E70"/>
    <w:rsid w:val="00882E8E"/>
    <w:rsid w:val="0088447D"/>
    <w:rsid w:val="00884483"/>
    <w:rsid w:val="008866CC"/>
    <w:rsid w:val="00886FEB"/>
    <w:rsid w:val="00887C11"/>
    <w:rsid w:val="00891495"/>
    <w:rsid w:val="00891AFD"/>
    <w:rsid w:val="00893664"/>
    <w:rsid w:val="008942BF"/>
    <w:rsid w:val="0089454A"/>
    <w:rsid w:val="00894C4D"/>
    <w:rsid w:val="00895F28"/>
    <w:rsid w:val="008A0272"/>
    <w:rsid w:val="008A242D"/>
    <w:rsid w:val="008A2B4E"/>
    <w:rsid w:val="008A2E36"/>
    <w:rsid w:val="008A2F16"/>
    <w:rsid w:val="008A3418"/>
    <w:rsid w:val="008A376E"/>
    <w:rsid w:val="008A41F8"/>
    <w:rsid w:val="008A6DFC"/>
    <w:rsid w:val="008A711A"/>
    <w:rsid w:val="008B0409"/>
    <w:rsid w:val="008B3041"/>
    <w:rsid w:val="008B4A22"/>
    <w:rsid w:val="008B7C87"/>
    <w:rsid w:val="008C14FD"/>
    <w:rsid w:val="008C1F6D"/>
    <w:rsid w:val="008C271E"/>
    <w:rsid w:val="008C314C"/>
    <w:rsid w:val="008C35EE"/>
    <w:rsid w:val="008C3DFB"/>
    <w:rsid w:val="008C732C"/>
    <w:rsid w:val="008C7A45"/>
    <w:rsid w:val="008D0177"/>
    <w:rsid w:val="008D0F58"/>
    <w:rsid w:val="008D1163"/>
    <w:rsid w:val="008D12B2"/>
    <w:rsid w:val="008D677E"/>
    <w:rsid w:val="008D7876"/>
    <w:rsid w:val="008D7F86"/>
    <w:rsid w:val="008E1424"/>
    <w:rsid w:val="008E224B"/>
    <w:rsid w:val="008E42DC"/>
    <w:rsid w:val="008E4992"/>
    <w:rsid w:val="008E4E0F"/>
    <w:rsid w:val="008E5AB7"/>
    <w:rsid w:val="008E5C75"/>
    <w:rsid w:val="008E6703"/>
    <w:rsid w:val="008E7603"/>
    <w:rsid w:val="008F0179"/>
    <w:rsid w:val="008F0951"/>
    <w:rsid w:val="008F1221"/>
    <w:rsid w:val="008F3FCC"/>
    <w:rsid w:val="008F4B27"/>
    <w:rsid w:val="008F4CE9"/>
    <w:rsid w:val="008F599C"/>
    <w:rsid w:val="008F71D6"/>
    <w:rsid w:val="008F766D"/>
    <w:rsid w:val="009024C0"/>
    <w:rsid w:val="009057BF"/>
    <w:rsid w:val="009075A9"/>
    <w:rsid w:val="0091087A"/>
    <w:rsid w:val="00914D1B"/>
    <w:rsid w:val="0091644C"/>
    <w:rsid w:val="00920981"/>
    <w:rsid w:val="009222B2"/>
    <w:rsid w:val="00923E00"/>
    <w:rsid w:val="00924181"/>
    <w:rsid w:val="00924666"/>
    <w:rsid w:val="0092494F"/>
    <w:rsid w:val="009261E4"/>
    <w:rsid w:val="009274D0"/>
    <w:rsid w:val="009306E6"/>
    <w:rsid w:val="00930896"/>
    <w:rsid w:val="0093264E"/>
    <w:rsid w:val="00933766"/>
    <w:rsid w:val="0093394B"/>
    <w:rsid w:val="00936361"/>
    <w:rsid w:val="00936423"/>
    <w:rsid w:val="009406FF"/>
    <w:rsid w:val="009508E8"/>
    <w:rsid w:val="0095263D"/>
    <w:rsid w:val="0095288B"/>
    <w:rsid w:val="00957FFA"/>
    <w:rsid w:val="00960042"/>
    <w:rsid w:val="0096250E"/>
    <w:rsid w:val="00964C24"/>
    <w:rsid w:val="009708D6"/>
    <w:rsid w:val="00973512"/>
    <w:rsid w:val="00973A2E"/>
    <w:rsid w:val="009748CA"/>
    <w:rsid w:val="00976B1B"/>
    <w:rsid w:val="009840AE"/>
    <w:rsid w:val="00984677"/>
    <w:rsid w:val="00986621"/>
    <w:rsid w:val="0098672D"/>
    <w:rsid w:val="00986BF4"/>
    <w:rsid w:val="009870F7"/>
    <w:rsid w:val="009900AF"/>
    <w:rsid w:val="00992FBF"/>
    <w:rsid w:val="009947A8"/>
    <w:rsid w:val="00994D11"/>
    <w:rsid w:val="009974ED"/>
    <w:rsid w:val="009975BE"/>
    <w:rsid w:val="0099761A"/>
    <w:rsid w:val="009A0B6E"/>
    <w:rsid w:val="009A3542"/>
    <w:rsid w:val="009A466F"/>
    <w:rsid w:val="009A491E"/>
    <w:rsid w:val="009A682A"/>
    <w:rsid w:val="009A6D0E"/>
    <w:rsid w:val="009B0663"/>
    <w:rsid w:val="009B1771"/>
    <w:rsid w:val="009B1AFB"/>
    <w:rsid w:val="009B2714"/>
    <w:rsid w:val="009B31F2"/>
    <w:rsid w:val="009B335C"/>
    <w:rsid w:val="009B51A1"/>
    <w:rsid w:val="009C06C9"/>
    <w:rsid w:val="009C3627"/>
    <w:rsid w:val="009C3E4E"/>
    <w:rsid w:val="009C5F39"/>
    <w:rsid w:val="009D1EFA"/>
    <w:rsid w:val="009D22F8"/>
    <w:rsid w:val="009D3B0F"/>
    <w:rsid w:val="009E0828"/>
    <w:rsid w:val="009E18E6"/>
    <w:rsid w:val="009E1B23"/>
    <w:rsid w:val="009E24CD"/>
    <w:rsid w:val="009E3448"/>
    <w:rsid w:val="009E3610"/>
    <w:rsid w:val="009E55DF"/>
    <w:rsid w:val="009E56B8"/>
    <w:rsid w:val="009E5A8A"/>
    <w:rsid w:val="009E6FE8"/>
    <w:rsid w:val="009E793B"/>
    <w:rsid w:val="009E7960"/>
    <w:rsid w:val="009F4B48"/>
    <w:rsid w:val="009F5019"/>
    <w:rsid w:val="009F553D"/>
    <w:rsid w:val="009F6CAB"/>
    <w:rsid w:val="009F7A93"/>
    <w:rsid w:val="00A009EA"/>
    <w:rsid w:val="00A010CA"/>
    <w:rsid w:val="00A01FEB"/>
    <w:rsid w:val="00A02216"/>
    <w:rsid w:val="00A04ABE"/>
    <w:rsid w:val="00A04D4E"/>
    <w:rsid w:val="00A052F9"/>
    <w:rsid w:val="00A0603D"/>
    <w:rsid w:val="00A10D0B"/>
    <w:rsid w:val="00A11F0A"/>
    <w:rsid w:val="00A1352A"/>
    <w:rsid w:val="00A1794A"/>
    <w:rsid w:val="00A24392"/>
    <w:rsid w:val="00A246BE"/>
    <w:rsid w:val="00A25A2C"/>
    <w:rsid w:val="00A32230"/>
    <w:rsid w:val="00A33821"/>
    <w:rsid w:val="00A344B4"/>
    <w:rsid w:val="00A34576"/>
    <w:rsid w:val="00A408E9"/>
    <w:rsid w:val="00A471DD"/>
    <w:rsid w:val="00A50F7F"/>
    <w:rsid w:val="00A52875"/>
    <w:rsid w:val="00A52CFC"/>
    <w:rsid w:val="00A561C4"/>
    <w:rsid w:val="00A56CD5"/>
    <w:rsid w:val="00A5771B"/>
    <w:rsid w:val="00A60157"/>
    <w:rsid w:val="00A61E30"/>
    <w:rsid w:val="00A61F16"/>
    <w:rsid w:val="00A6352B"/>
    <w:rsid w:val="00A63F44"/>
    <w:rsid w:val="00A669DC"/>
    <w:rsid w:val="00A66F46"/>
    <w:rsid w:val="00A70D38"/>
    <w:rsid w:val="00A717FF"/>
    <w:rsid w:val="00A71BC3"/>
    <w:rsid w:val="00A730FE"/>
    <w:rsid w:val="00A7553C"/>
    <w:rsid w:val="00A80611"/>
    <w:rsid w:val="00A825E2"/>
    <w:rsid w:val="00A83FD8"/>
    <w:rsid w:val="00A84270"/>
    <w:rsid w:val="00A85F59"/>
    <w:rsid w:val="00A867DA"/>
    <w:rsid w:val="00A867E6"/>
    <w:rsid w:val="00A87A60"/>
    <w:rsid w:val="00A905B4"/>
    <w:rsid w:val="00A922BB"/>
    <w:rsid w:val="00A95708"/>
    <w:rsid w:val="00A95D88"/>
    <w:rsid w:val="00A96BB5"/>
    <w:rsid w:val="00A97A8F"/>
    <w:rsid w:val="00AA0D69"/>
    <w:rsid w:val="00AA1129"/>
    <w:rsid w:val="00AA3567"/>
    <w:rsid w:val="00AA4138"/>
    <w:rsid w:val="00AA594E"/>
    <w:rsid w:val="00AA5A3E"/>
    <w:rsid w:val="00AB0871"/>
    <w:rsid w:val="00AB0BAE"/>
    <w:rsid w:val="00AB0F67"/>
    <w:rsid w:val="00AB20EC"/>
    <w:rsid w:val="00AB22C5"/>
    <w:rsid w:val="00AB3752"/>
    <w:rsid w:val="00AB3B4B"/>
    <w:rsid w:val="00AB3CBD"/>
    <w:rsid w:val="00AB4CD1"/>
    <w:rsid w:val="00AB6335"/>
    <w:rsid w:val="00AC1BAA"/>
    <w:rsid w:val="00AC4291"/>
    <w:rsid w:val="00AC55E2"/>
    <w:rsid w:val="00AC6DEF"/>
    <w:rsid w:val="00AD0DBE"/>
    <w:rsid w:val="00AD4214"/>
    <w:rsid w:val="00AD4E68"/>
    <w:rsid w:val="00AD523E"/>
    <w:rsid w:val="00AE0CF4"/>
    <w:rsid w:val="00AE2DF5"/>
    <w:rsid w:val="00AE4987"/>
    <w:rsid w:val="00AE6911"/>
    <w:rsid w:val="00AF031D"/>
    <w:rsid w:val="00AF2BF6"/>
    <w:rsid w:val="00AF4052"/>
    <w:rsid w:val="00AF421B"/>
    <w:rsid w:val="00AF43D0"/>
    <w:rsid w:val="00AF48E2"/>
    <w:rsid w:val="00AF4B5D"/>
    <w:rsid w:val="00AF4E07"/>
    <w:rsid w:val="00AF6D0A"/>
    <w:rsid w:val="00B0026F"/>
    <w:rsid w:val="00B03BDD"/>
    <w:rsid w:val="00B11203"/>
    <w:rsid w:val="00B12273"/>
    <w:rsid w:val="00B12A14"/>
    <w:rsid w:val="00B14D78"/>
    <w:rsid w:val="00B166C9"/>
    <w:rsid w:val="00B16D0B"/>
    <w:rsid w:val="00B21652"/>
    <w:rsid w:val="00B21FA8"/>
    <w:rsid w:val="00B26233"/>
    <w:rsid w:val="00B270A7"/>
    <w:rsid w:val="00B319FE"/>
    <w:rsid w:val="00B32D7E"/>
    <w:rsid w:val="00B33047"/>
    <w:rsid w:val="00B352F1"/>
    <w:rsid w:val="00B36E79"/>
    <w:rsid w:val="00B37059"/>
    <w:rsid w:val="00B40262"/>
    <w:rsid w:val="00B40534"/>
    <w:rsid w:val="00B41B73"/>
    <w:rsid w:val="00B426D2"/>
    <w:rsid w:val="00B42BC3"/>
    <w:rsid w:val="00B55BE0"/>
    <w:rsid w:val="00B55CFE"/>
    <w:rsid w:val="00B565E1"/>
    <w:rsid w:val="00B572EA"/>
    <w:rsid w:val="00B714A6"/>
    <w:rsid w:val="00B734AE"/>
    <w:rsid w:val="00B751AA"/>
    <w:rsid w:val="00B75486"/>
    <w:rsid w:val="00B75C73"/>
    <w:rsid w:val="00B77C2C"/>
    <w:rsid w:val="00B8049B"/>
    <w:rsid w:val="00B817AE"/>
    <w:rsid w:val="00B82027"/>
    <w:rsid w:val="00B82F46"/>
    <w:rsid w:val="00B9077A"/>
    <w:rsid w:val="00B908B7"/>
    <w:rsid w:val="00B90AF1"/>
    <w:rsid w:val="00B97DBE"/>
    <w:rsid w:val="00BA067E"/>
    <w:rsid w:val="00BA10E4"/>
    <w:rsid w:val="00BA26D4"/>
    <w:rsid w:val="00BA3A45"/>
    <w:rsid w:val="00BA3FF5"/>
    <w:rsid w:val="00BA75CB"/>
    <w:rsid w:val="00BB01DB"/>
    <w:rsid w:val="00BB0EB2"/>
    <w:rsid w:val="00BB0F65"/>
    <w:rsid w:val="00BB4FA1"/>
    <w:rsid w:val="00BC0CE0"/>
    <w:rsid w:val="00BC136E"/>
    <w:rsid w:val="00BC1D08"/>
    <w:rsid w:val="00BC273E"/>
    <w:rsid w:val="00BC2F74"/>
    <w:rsid w:val="00BC35D6"/>
    <w:rsid w:val="00BC3881"/>
    <w:rsid w:val="00BC4D29"/>
    <w:rsid w:val="00BC4EEB"/>
    <w:rsid w:val="00BC5D5C"/>
    <w:rsid w:val="00BC6523"/>
    <w:rsid w:val="00BC6B9D"/>
    <w:rsid w:val="00BC778F"/>
    <w:rsid w:val="00BD08F8"/>
    <w:rsid w:val="00BD3369"/>
    <w:rsid w:val="00BD4733"/>
    <w:rsid w:val="00BD5DDE"/>
    <w:rsid w:val="00BE12F1"/>
    <w:rsid w:val="00BE2A49"/>
    <w:rsid w:val="00BE52BF"/>
    <w:rsid w:val="00BE7023"/>
    <w:rsid w:val="00BE791F"/>
    <w:rsid w:val="00BF19C2"/>
    <w:rsid w:val="00BF23D6"/>
    <w:rsid w:val="00BF3898"/>
    <w:rsid w:val="00BF5AF6"/>
    <w:rsid w:val="00BF67E1"/>
    <w:rsid w:val="00C0057B"/>
    <w:rsid w:val="00C00CCB"/>
    <w:rsid w:val="00C03410"/>
    <w:rsid w:val="00C03F1B"/>
    <w:rsid w:val="00C03FB0"/>
    <w:rsid w:val="00C04C08"/>
    <w:rsid w:val="00C04CAB"/>
    <w:rsid w:val="00C060DA"/>
    <w:rsid w:val="00C10882"/>
    <w:rsid w:val="00C108D9"/>
    <w:rsid w:val="00C13916"/>
    <w:rsid w:val="00C13C80"/>
    <w:rsid w:val="00C14DBC"/>
    <w:rsid w:val="00C20BA8"/>
    <w:rsid w:val="00C20CDF"/>
    <w:rsid w:val="00C2198E"/>
    <w:rsid w:val="00C249EF"/>
    <w:rsid w:val="00C26F85"/>
    <w:rsid w:val="00C27FD6"/>
    <w:rsid w:val="00C317DF"/>
    <w:rsid w:val="00C3212A"/>
    <w:rsid w:val="00C336A3"/>
    <w:rsid w:val="00C339F4"/>
    <w:rsid w:val="00C33F27"/>
    <w:rsid w:val="00C34A25"/>
    <w:rsid w:val="00C34C17"/>
    <w:rsid w:val="00C35535"/>
    <w:rsid w:val="00C4331D"/>
    <w:rsid w:val="00C45EF8"/>
    <w:rsid w:val="00C46921"/>
    <w:rsid w:val="00C46D19"/>
    <w:rsid w:val="00C47466"/>
    <w:rsid w:val="00C5049E"/>
    <w:rsid w:val="00C520E0"/>
    <w:rsid w:val="00C52BCA"/>
    <w:rsid w:val="00C550FD"/>
    <w:rsid w:val="00C552DF"/>
    <w:rsid w:val="00C61401"/>
    <w:rsid w:val="00C61A11"/>
    <w:rsid w:val="00C65622"/>
    <w:rsid w:val="00C662BB"/>
    <w:rsid w:val="00C7183E"/>
    <w:rsid w:val="00C76910"/>
    <w:rsid w:val="00C772BE"/>
    <w:rsid w:val="00C777B0"/>
    <w:rsid w:val="00C77B8E"/>
    <w:rsid w:val="00C82E00"/>
    <w:rsid w:val="00C83CFF"/>
    <w:rsid w:val="00C87C36"/>
    <w:rsid w:val="00C929DA"/>
    <w:rsid w:val="00C92A7C"/>
    <w:rsid w:val="00C9378A"/>
    <w:rsid w:val="00C96F53"/>
    <w:rsid w:val="00C97272"/>
    <w:rsid w:val="00C97456"/>
    <w:rsid w:val="00CA0DAB"/>
    <w:rsid w:val="00CA1A45"/>
    <w:rsid w:val="00CA1DCA"/>
    <w:rsid w:val="00CA26AB"/>
    <w:rsid w:val="00CA3010"/>
    <w:rsid w:val="00CA5FA8"/>
    <w:rsid w:val="00CA6631"/>
    <w:rsid w:val="00CA704B"/>
    <w:rsid w:val="00CA7CD3"/>
    <w:rsid w:val="00CB04C1"/>
    <w:rsid w:val="00CB0C4A"/>
    <w:rsid w:val="00CB3DE1"/>
    <w:rsid w:val="00CB4E16"/>
    <w:rsid w:val="00CB6268"/>
    <w:rsid w:val="00CB66F2"/>
    <w:rsid w:val="00CB70D2"/>
    <w:rsid w:val="00CC01E4"/>
    <w:rsid w:val="00CC06EF"/>
    <w:rsid w:val="00CC369F"/>
    <w:rsid w:val="00CC73AE"/>
    <w:rsid w:val="00CD30EB"/>
    <w:rsid w:val="00CD595C"/>
    <w:rsid w:val="00CE0D55"/>
    <w:rsid w:val="00CE1542"/>
    <w:rsid w:val="00CE1CAD"/>
    <w:rsid w:val="00CE27CA"/>
    <w:rsid w:val="00CE2B4B"/>
    <w:rsid w:val="00CE348E"/>
    <w:rsid w:val="00CE355C"/>
    <w:rsid w:val="00CE6265"/>
    <w:rsid w:val="00CF0AF7"/>
    <w:rsid w:val="00CF108E"/>
    <w:rsid w:val="00CF154F"/>
    <w:rsid w:val="00CF2128"/>
    <w:rsid w:val="00CF28CF"/>
    <w:rsid w:val="00CF2CF5"/>
    <w:rsid w:val="00CF7592"/>
    <w:rsid w:val="00CF79A5"/>
    <w:rsid w:val="00D02692"/>
    <w:rsid w:val="00D10123"/>
    <w:rsid w:val="00D142FB"/>
    <w:rsid w:val="00D1497B"/>
    <w:rsid w:val="00D1754A"/>
    <w:rsid w:val="00D17EF1"/>
    <w:rsid w:val="00D202E5"/>
    <w:rsid w:val="00D20DE6"/>
    <w:rsid w:val="00D212D6"/>
    <w:rsid w:val="00D223C8"/>
    <w:rsid w:val="00D24DDD"/>
    <w:rsid w:val="00D25E22"/>
    <w:rsid w:val="00D26363"/>
    <w:rsid w:val="00D26978"/>
    <w:rsid w:val="00D27A9A"/>
    <w:rsid w:val="00D35B16"/>
    <w:rsid w:val="00D40021"/>
    <w:rsid w:val="00D42221"/>
    <w:rsid w:val="00D443DE"/>
    <w:rsid w:val="00D456AA"/>
    <w:rsid w:val="00D45D70"/>
    <w:rsid w:val="00D47BED"/>
    <w:rsid w:val="00D504CF"/>
    <w:rsid w:val="00D50927"/>
    <w:rsid w:val="00D51A00"/>
    <w:rsid w:val="00D54258"/>
    <w:rsid w:val="00D579CA"/>
    <w:rsid w:val="00D60B7D"/>
    <w:rsid w:val="00D64422"/>
    <w:rsid w:val="00D656DA"/>
    <w:rsid w:val="00D66992"/>
    <w:rsid w:val="00D67AD6"/>
    <w:rsid w:val="00D67B43"/>
    <w:rsid w:val="00D7048A"/>
    <w:rsid w:val="00D70C67"/>
    <w:rsid w:val="00D71C25"/>
    <w:rsid w:val="00D71DD2"/>
    <w:rsid w:val="00D73DF9"/>
    <w:rsid w:val="00D81342"/>
    <w:rsid w:val="00D81A0F"/>
    <w:rsid w:val="00D82F95"/>
    <w:rsid w:val="00D842FA"/>
    <w:rsid w:val="00D8591C"/>
    <w:rsid w:val="00D85943"/>
    <w:rsid w:val="00D86474"/>
    <w:rsid w:val="00D86694"/>
    <w:rsid w:val="00D874F3"/>
    <w:rsid w:val="00D916C1"/>
    <w:rsid w:val="00D93E4D"/>
    <w:rsid w:val="00D96C9E"/>
    <w:rsid w:val="00D974B6"/>
    <w:rsid w:val="00DA1B81"/>
    <w:rsid w:val="00DA2152"/>
    <w:rsid w:val="00DA3BFD"/>
    <w:rsid w:val="00DA5093"/>
    <w:rsid w:val="00DA6566"/>
    <w:rsid w:val="00DA6820"/>
    <w:rsid w:val="00DB199D"/>
    <w:rsid w:val="00DB2227"/>
    <w:rsid w:val="00DB4571"/>
    <w:rsid w:val="00DB505A"/>
    <w:rsid w:val="00DB6818"/>
    <w:rsid w:val="00DC0CDF"/>
    <w:rsid w:val="00DC1A97"/>
    <w:rsid w:val="00DC2485"/>
    <w:rsid w:val="00DC58C4"/>
    <w:rsid w:val="00DC6AC2"/>
    <w:rsid w:val="00DD03B3"/>
    <w:rsid w:val="00DD1BE5"/>
    <w:rsid w:val="00DD2BAB"/>
    <w:rsid w:val="00DD576A"/>
    <w:rsid w:val="00DD590F"/>
    <w:rsid w:val="00DE11CC"/>
    <w:rsid w:val="00DE17A5"/>
    <w:rsid w:val="00DE3A25"/>
    <w:rsid w:val="00DE499C"/>
    <w:rsid w:val="00DE705C"/>
    <w:rsid w:val="00DE7FE1"/>
    <w:rsid w:val="00DF0E7C"/>
    <w:rsid w:val="00DF198F"/>
    <w:rsid w:val="00DF1CF7"/>
    <w:rsid w:val="00DF6F19"/>
    <w:rsid w:val="00E00944"/>
    <w:rsid w:val="00E0308F"/>
    <w:rsid w:val="00E04635"/>
    <w:rsid w:val="00E049DF"/>
    <w:rsid w:val="00E05134"/>
    <w:rsid w:val="00E05AB5"/>
    <w:rsid w:val="00E11556"/>
    <w:rsid w:val="00E21275"/>
    <w:rsid w:val="00E22AED"/>
    <w:rsid w:val="00E27E30"/>
    <w:rsid w:val="00E30021"/>
    <w:rsid w:val="00E30837"/>
    <w:rsid w:val="00E30B50"/>
    <w:rsid w:val="00E3170F"/>
    <w:rsid w:val="00E31DB4"/>
    <w:rsid w:val="00E3300B"/>
    <w:rsid w:val="00E34E80"/>
    <w:rsid w:val="00E34E92"/>
    <w:rsid w:val="00E363E5"/>
    <w:rsid w:val="00E36DB0"/>
    <w:rsid w:val="00E372AE"/>
    <w:rsid w:val="00E37411"/>
    <w:rsid w:val="00E40D4D"/>
    <w:rsid w:val="00E43298"/>
    <w:rsid w:val="00E43AF4"/>
    <w:rsid w:val="00E460AC"/>
    <w:rsid w:val="00E4668B"/>
    <w:rsid w:val="00E466FB"/>
    <w:rsid w:val="00E50D14"/>
    <w:rsid w:val="00E51EEA"/>
    <w:rsid w:val="00E52E17"/>
    <w:rsid w:val="00E573F7"/>
    <w:rsid w:val="00E62859"/>
    <w:rsid w:val="00E62DC2"/>
    <w:rsid w:val="00E64022"/>
    <w:rsid w:val="00E707AD"/>
    <w:rsid w:val="00E741C1"/>
    <w:rsid w:val="00E7433E"/>
    <w:rsid w:val="00E749E3"/>
    <w:rsid w:val="00E75827"/>
    <w:rsid w:val="00E765CB"/>
    <w:rsid w:val="00E77F2E"/>
    <w:rsid w:val="00E81249"/>
    <w:rsid w:val="00E83E38"/>
    <w:rsid w:val="00E83FD4"/>
    <w:rsid w:val="00E85B5C"/>
    <w:rsid w:val="00E86502"/>
    <w:rsid w:val="00E909A1"/>
    <w:rsid w:val="00E92D19"/>
    <w:rsid w:val="00E93098"/>
    <w:rsid w:val="00E9649E"/>
    <w:rsid w:val="00EA01DF"/>
    <w:rsid w:val="00EA1C1B"/>
    <w:rsid w:val="00EA5C6D"/>
    <w:rsid w:val="00EA60B2"/>
    <w:rsid w:val="00EA6A7F"/>
    <w:rsid w:val="00EA7F7E"/>
    <w:rsid w:val="00EB3452"/>
    <w:rsid w:val="00EB352A"/>
    <w:rsid w:val="00EB3969"/>
    <w:rsid w:val="00EB48EF"/>
    <w:rsid w:val="00EB4B3D"/>
    <w:rsid w:val="00EB6811"/>
    <w:rsid w:val="00EC7985"/>
    <w:rsid w:val="00EC7BF7"/>
    <w:rsid w:val="00ED0BF4"/>
    <w:rsid w:val="00ED1929"/>
    <w:rsid w:val="00ED396F"/>
    <w:rsid w:val="00ED49E9"/>
    <w:rsid w:val="00ED568F"/>
    <w:rsid w:val="00ED63DA"/>
    <w:rsid w:val="00EE02C9"/>
    <w:rsid w:val="00EE469A"/>
    <w:rsid w:val="00EE4D59"/>
    <w:rsid w:val="00EE56A9"/>
    <w:rsid w:val="00EE754C"/>
    <w:rsid w:val="00EF09D0"/>
    <w:rsid w:val="00EF0D9A"/>
    <w:rsid w:val="00EF1450"/>
    <w:rsid w:val="00EF14EC"/>
    <w:rsid w:val="00EF4556"/>
    <w:rsid w:val="00EF5163"/>
    <w:rsid w:val="00EF68DE"/>
    <w:rsid w:val="00F00375"/>
    <w:rsid w:val="00F007B5"/>
    <w:rsid w:val="00F013D2"/>
    <w:rsid w:val="00F05B21"/>
    <w:rsid w:val="00F0693D"/>
    <w:rsid w:val="00F06BDF"/>
    <w:rsid w:val="00F10B24"/>
    <w:rsid w:val="00F12EF8"/>
    <w:rsid w:val="00F152ED"/>
    <w:rsid w:val="00F15F66"/>
    <w:rsid w:val="00F161A7"/>
    <w:rsid w:val="00F210B8"/>
    <w:rsid w:val="00F21C6D"/>
    <w:rsid w:val="00F23E24"/>
    <w:rsid w:val="00F24624"/>
    <w:rsid w:val="00F254D9"/>
    <w:rsid w:val="00F262C6"/>
    <w:rsid w:val="00F265A8"/>
    <w:rsid w:val="00F269D5"/>
    <w:rsid w:val="00F271AF"/>
    <w:rsid w:val="00F31DFA"/>
    <w:rsid w:val="00F32A7A"/>
    <w:rsid w:val="00F3327A"/>
    <w:rsid w:val="00F34675"/>
    <w:rsid w:val="00F35164"/>
    <w:rsid w:val="00F41F06"/>
    <w:rsid w:val="00F427A9"/>
    <w:rsid w:val="00F4357F"/>
    <w:rsid w:val="00F437AB"/>
    <w:rsid w:val="00F44F2F"/>
    <w:rsid w:val="00F46F97"/>
    <w:rsid w:val="00F47992"/>
    <w:rsid w:val="00F50811"/>
    <w:rsid w:val="00F50B85"/>
    <w:rsid w:val="00F51338"/>
    <w:rsid w:val="00F51B4F"/>
    <w:rsid w:val="00F51C82"/>
    <w:rsid w:val="00F53CE4"/>
    <w:rsid w:val="00F55991"/>
    <w:rsid w:val="00F568CB"/>
    <w:rsid w:val="00F64FD9"/>
    <w:rsid w:val="00F65712"/>
    <w:rsid w:val="00F6714E"/>
    <w:rsid w:val="00F674F9"/>
    <w:rsid w:val="00F71894"/>
    <w:rsid w:val="00F80889"/>
    <w:rsid w:val="00F83F1C"/>
    <w:rsid w:val="00F854E7"/>
    <w:rsid w:val="00F85ED6"/>
    <w:rsid w:val="00F87911"/>
    <w:rsid w:val="00F87953"/>
    <w:rsid w:val="00F927C7"/>
    <w:rsid w:val="00F95258"/>
    <w:rsid w:val="00F963CF"/>
    <w:rsid w:val="00F96841"/>
    <w:rsid w:val="00F9738F"/>
    <w:rsid w:val="00FA0F13"/>
    <w:rsid w:val="00FA3F6E"/>
    <w:rsid w:val="00FA4F98"/>
    <w:rsid w:val="00FA6A63"/>
    <w:rsid w:val="00FB2E74"/>
    <w:rsid w:val="00FB30F4"/>
    <w:rsid w:val="00FB5FFE"/>
    <w:rsid w:val="00FB75E6"/>
    <w:rsid w:val="00FB7842"/>
    <w:rsid w:val="00FC07CA"/>
    <w:rsid w:val="00FC0E66"/>
    <w:rsid w:val="00FC281F"/>
    <w:rsid w:val="00FC42F3"/>
    <w:rsid w:val="00FC437B"/>
    <w:rsid w:val="00FC4D5D"/>
    <w:rsid w:val="00FC5EA5"/>
    <w:rsid w:val="00FC63D3"/>
    <w:rsid w:val="00FD02B7"/>
    <w:rsid w:val="00FD28C8"/>
    <w:rsid w:val="00FD332F"/>
    <w:rsid w:val="00FD344B"/>
    <w:rsid w:val="00FD5E46"/>
    <w:rsid w:val="00FD6C70"/>
    <w:rsid w:val="00FE09D9"/>
    <w:rsid w:val="00FE0B7D"/>
    <w:rsid w:val="00FE2C3E"/>
    <w:rsid w:val="00FE30BE"/>
    <w:rsid w:val="00FE5AD0"/>
    <w:rsid w:val="00FE622E"/>
    <w:rsid w:val="00FF0BF6"/>
    <w:rsid w:val="00FF1456"/>
    <w:rsid w:val="00FF210C"/>
    <w:rsid w:val="00FF2556"/>
    <w:rsid w:val="00FF2C84"/>
    <w:rsid w:val="00FF4545"/>
    <w:rsid w:val="00FF4615"/>
    <w:rsid w:val="00FF502E"/>
    <w:rsid w:val="00FF6C94"/>
    <w:rsid w:val="00FF71FA"/>
    <w:rsid w:val="00FF7CB5"/>
    <w:rsid w:val="018A2413"/>
    <w:rsid w:val="019431F5"/>
    <w:rsid w:val="01AA237B"/>
    <w:rsid w:val="01CF4DDC"/>
    <w:rsid w:val="0209580F"/>
    <w:rsid w:val="020E3A6A"/>
    <w:rsid w:val="02154B4B"/>
    <w:rsid w:val="022A776D"/>
    <w:rsid w:val="03501F61"/>
    <w:rsid w:val="036B4347"/>
    <w:rsid w:val="03BE31D0"/>
    <w:rsid w:val="03EC0796"/>
    <w:rsid w:val="03FA617D"/>
    <w:rsid w:val="04137D7F"/>
    <w:rsid w:val="046E220A"/>
    <w:rsid w:val="0492623B"/>
    <w:rsid w:val="04CA7936"/>
    <w:rsid w:val="05161B76"/>
    <w:rsid w:val="05232130"/>
    <w:rsid w:val="0531588B"/>
    <w:rsid w:val="05553FD9"/>
    <w:rsid w:val="055826AC"/>
    <w:rsid w:val="05670B07"/>
    <w:rsid w:val="056753BD"/>
    <w:rsid w:val="059011F0"/>
    <w:rsid w:val="05EF6F0F"/>
    <w:rsid w:val="06007816"/>
    <w:rsid w:val="06F51A39"/>
    <w:rsid w:val="07213569"/>
    <w:rsid w:val="076E5D88"/>
    <w:rsid w:val="07B15E91"/>
    <w:rsid w:val="07C85634"/>
    <w:rsid w:val="080444BA"/>
    <w:rsid w:val="080D77C5"/>
    <w:rsid w:val="083C3357"/>
    <w:rsid w:val="089C604B"/>
    <w:rsid w:val="08D45827"/>
    <w:rsid w:val="08F95EA0"/>
    <w:rsid w:val="09102A91"/>
    <w:rsid w:val="092D75E9"/>
    <w:rsid w:val="09441232"/>
    <w:rsid w:val="098F19CA"/>
    <w:rsid w:val="0A870D35"/>
    <w:rsid w:val="0B4A5741"/>
    <w:rsid w:val="0B8D0EDA"/>
    <w:rsid w:val="0BA82B7B"/>
    <w:rsid w:val="0BBF093C"/>
    <w:rsid w:val="0BE45BD8"/>
    <w:rsid w:val="0C17684C"/>
    <w:rsid w:val="0C4A4386"/>
    <w:rsid w:val="0CAA4D50"/>
    <w:rsid w:val="0CAC0DEC"/>
    <w:rsid w:val="0CE72054"/>
    <w:rsid w:val="0CF86E18"/>
    <w:rsid w:val="0D0D283B"/>
    <w:rsid w:val="0D646FDD"/>
    <w:rsid w:val="0DF01AEE"/>
    <w:rsid w:val="0E3473D5"/>
    <w:rsid w:val="0E527220"/>
    <w:rsid w:val="0E604D4E"/>
    <w:rsid w:val="0E743739"/>
    <w:rsid w:val="0EB0001C"/>
    <w:rsid w:val="0F1854AA"/>
    <w:rsid w:val="0F1C5B3C"/>
    <w:rsid w:val="0F314750"/>
    <w:rsid w:val="0F400DB6"/>
    <w:rsid w:val="0F5605A1"/>
    <w:rsid w:val="0F560D85"/>
    <w:rsid w:val="0F790D89"/>
    <w:rsid w:val="0F7F6343"/>
    <w:rsid w:val="0F8C0A53"/>
    <w:rsid w:val="0F8E49EF"/>
    <w:rsid w:val="0FEC0031"/>
    <w:rsid w:val="10001497"/>
    <w:rsid w:val="10404242"/>
    <w:rsid w:val="105E51F1"/>
    <w:rsid w:val="10907B49"/>
    <w:rsid w:val="109412CA"/>
    <w:rsid w:val="109A3C09"/>
    <w:rsid w:val="109E62AB"/>
    <w:rsid w:val="10A3032C"/>
    <w:rsid w:val="11232C81"/>
    <w:rsid w:val="114B6E00"/>
    <w:rsid w:val="11802C63"/>
    <w:rsid w:val="12424023"/>
    <w:rsid w:val="12486F1E"/>
    <w:rsid w:val="12AF0CEE"/>
    <w:rsid w:val="12C076E1"/>
    <w:rsid w:val="1338177A"/>
    <w:rsid w:val="135D7901"/>
    <w:rsid w:val="13694EBB"/>
    <w:rsid w:val="136C5212"/>
    <w:rsid w:val="13930C92"/>
    <w:rsid w:val="13E0707D"/>
    <w:rsid w:val="141A1224"/>
    <w:rsid w:val="144F74E9"/>
    <w:rsid w:val="146A7D48"/>
    <w:rsid w:val="14984873"/>
    <w:rsid w:val="14EB2720"/>
    <w:rsid w:val="14ED6B32"/>
    <w:rsid w:val="15270868"/>
    <w:rsid w:val="158B2A88"/>
    <w:rsid w:val="158E3152"/>
    <w:rsid w:val="159B7D9F"/>
    <w:rsid w:val="15E41B99"/>
    <w:rsid w:val="16054BC9"/>
    <w:rsid w:val="1622419E"/>
    <w:rsid w:val="1624471B"/>
    <w:rsid w:val="16512BD8"/>
    <w:rsid w:val="167858D7"/>
    <w:rsid w:val="169B4DCF"/>
    <w:rsid w:val="16B33CB9"/>
    <w:rsid w:val="16CD6897"/>
    <w:rsid w:val="17E5057F"/>
    <w:rsid w:val="1840341D"/>
    <w:rsid w:val="18927600"/>
    <w:rsid w:val="18B232E6"/>
    <w:rsid w:val="18D119CE"/>
    <w:rsid w:val="18FC7CED"/>
    <w:rsid w:val="19342C98"/>
    <w:rsid w:val="193744D4"/>
    <w:rsid w:val="19571105"/>
    <w:rsid w:val="195D7F3B"/>
    <w:rsid w:val="19736C1A"/>
    <w:rsid w:val="19C62195"/>
    <w:rsid w:val="19EA1A93"/>
    <w:rsid w:val="19F9349E"/>
    <w:rsid w:val="1A051DDC"/>
    <w:rsid w:val="1A8018C7"/>
    <w:rsid w:val="1AA06C39"/>
    <w:rsid w:val="1AFE3DBA"/>
    <w:rsid w:val="1B3C77EC"/>
    <w:rsid w:val="1B6C50E3"/>
    <w:rsid w:val="1B6E0F09"/>
    <w:rsid w:val="1B8468B0"/>
    <w:rsid w:val="1B946AC0"/>
    <w:rsid w:val="1BD0190A"/>
    <w:rsid w:val="1C08232C"/>
    <w:rsid w:val="1C434496"/>
    <w:rsid w:val="1C697C2B"/>
    <w:rsid w:val="1C7F5BD5"/>
    <w:rsid w:val="1CAB3DBB"/>
    <w:rsid w:val="1CB41C65"/>
    <w:rsid w:val="1CCC2B27"/>
    <w:rsid w:val="1D08612B"/>
    <w:rsid w:val="1D4D0F06"/>
    <w:rsid w:val="1D5F1529"/>
    <w:rsid w:val="1D611556"/>
    <w:rsid w:val="1D983A66"/>
    <w:rsid w:val="1DB758CA"/>
    <w:rsid w:val="1E0A39E0"/>
    <w:rsid w:val="1E1D5D59"/>
    <w:rsid w:val="1EAA2CB1"/>
    <w:rsid w:val="1F4A3159"/>
    <w:rsid w:val="1F5946B8"/>
    <w:rsid w:val="1F9306EB"/>
    <w:rsid w:val="1FBB15A1"/>
    <w:rsid w:val="1FBF2FDF"/>
    <w:rsid w:val="204361DF"/>
    <w:rsid w:val="20627438"/>
    <w:rsid w:val="20C2329B"/>
    <w:rsid w:val="21067ADE"/>
    <w:rsid w:val="214F1ABB"/>
    <w:rsid w:val="218238C1"/>
    <w:rsid w:val="21D77FBE"/>
    <w:rsid w:val="21E24B45"/>
    <w:rsid w:val="22DA3DA5"/>
    <w:rsid w:val="22DB78DD"/>
    <w:rsid w:val="230E30D7"/>
    <w:rsid w:val="234C5CEC"/>
    <w:rsid w:val="236573ED"/>
    <w:rsid w:val="238E23C3"/>
    <w:rsid w:val="23E83E2C"/>
    <w:rsid w:val="23FA7CE7"/>
    <w:rsid w:val="249D299C"/>
    <w:rsid w:val="24E9087B"/>
    <w:rsid w:val="24FD0641"/>
    <w:rsid w:val="25056E93"/>
    <w:rsid w:val="251119D4"/>
    <w:rsid w:val="25426A45"/>
    <w:rsid w:val="2549517A"/>
    <w:rsid w:val="25937316"/>
    <w:rsid w:val="26406743"/>
    <w:rsid w:val="26D3474C"/>
    <w:rsid w:val="26FD01AF"/>
    <w:rsid w:val="270026F5"/>
    <w:rsid w:val="270350B8"/>
    <w:rsid w:val="27122429"/>
    <w:rsid w:val="27707C52"/>
    <w:rsid w:val="27CE448F"/>
    <w:rsid w:val="27EA2825"/>
    <w:rsid w:val="27F56AF7"/>
    <w:rsid w:val="280B29BE"/>
    <w:rsid w:val="28544797"/>
    <w:rsid w:val="285926ED"/>
    <w:rsid w:val="28656868"/>
    <w:rsid w:val="289556BB"/>
    <w:rsid w:val="289A0EC5"/>
    <w:rsid w:val="28D45066"/>
    <w:rsid w:val="28E444C1"/>
    <w:rsid w:val="294D787E"/>
    <w:rsid w:val="29B72DD4"/>
    <w:rsid w:val="29F01AE2"/>
    <w:rsid w:val="2A0F1F2C"/>
    <w:rsid w:val="2A553191"/>
    <w:rsid w:val="2A9C0986"/>
    <w:rsid w:val="2ABA4565"/>
    <w:rsid w:val="2B142884"/>
    <w:rsid w:val="2B420158"/>
    <w:rsid w:val="2B8E0C26"/>
    <w:rsid w:val="2B975F72"/>
    <w:rsid w:val="2BA76E94"/>
    <w:rsid w:val="2BB152C6"/>
    <w:rsid w:val="2C3E4CDD"/>
    <w:rsid w:val="2C4551D0"/>
    <w:rsid w:val="2CAA35AE"/>
    <w:rsid w:val="2CB03533"/>
    <w:rsid w:val="2CFF120E"/>
    <w:rsid w:val="2D096DB5"/>
    <w:rsid w:val="2D5B4C58"/>
    <w:rsid w:val="2D907C79"/>
    <w:rsid w:val="2DEF7971"/>
    <w:rsid w:val="2E20327F"/>
    <w:rsid w:val="2E3F4861"/>
    <w:rsid w:val="2E602172"/>
    <w:rsid w:val="2EEC071F"/>
    <w:rsid w:val="2F020AA5"/>
    <w:rsid w:val="2F5716B9"/>
    <w:rsid w:val="2F89135A"/>
    <w:rsid w:val="2F9A766B"/>
    <w:rsid w:val="2FE05B19"/>
    <w:rsid w:val="2FE5094B"/>
    <w:rsid w:val="30185DDF"/>
    <w:rsid w:val="302D3B03"/>
    <w:rsid w:val="30404B68"/>
    <w:rsid w:val="30B95690"/>
    <w:rsid w:val="31272BAC"/>
    <w:rsid w:val="31E329C7"/>
    <w:rsid w:val="31E8102C"/>
    <w:rsid w:val="324046B9"/>
    <w:rsid w:val="327D70CA"/>
    <w:rsid w:val="32B617CD"/>
    <w:rsid w:val="333200EA"/>
    <w:rsid w:val="333B666B"/>
    <w:rsid w:val="334F5E17"/>
    <w:rsid w:val="33E54B02"/>
    <w:rsid w:val="33ED6BAE"/>
    <w:rsid w:val="348A164F"/>
    <w:rsid w:val="348D3E08"/>
    <w:rsid w:val="35384755"/>
    <w:rsid w:val="35724A78"/>
    <w:rsid w:val="35D7201D"/>
    <w:rsid w:val="35E9521B"/>
    <w:rsid w:val="36020918"/>
    <w:rsid w:val="367F2AD9"/>
    <w:rsid w:val="36814924"/>
    <w:rsid w:val="36B12E2A"/>
    <w:rsid w:val="36B77BBB"/>
    <w:rsid w:val="36D1157B"/>
    <w:rsid w:val="370F0830"/>
    <w:rsid w:val="37283A3B"/>
    <w:rsid w:val="375810A4"/>
    <w:rsid w:val="377027E8"/>
    <w:rsid w:val="37CC137B"/>
    <w:rsid w:val="37E97EB4"/>
    <w:rsid w:val="384F222F"/>
    <w:rsid w:val="386352CB"/>
    <w:rsid w:val="38DB0FC8"/>
    <w:rsid w:val="397A3554"/>
    <w:rsid w:val="3A9A5973"/>
    <w:rsid w:val="3AC03D6F"/>
    <w:rsid w:val="3AE2642C"/>
    <w:rsid w:val="3B234151"/>
    <w:rsid w:val="3B2856BC"/>
    <w:rsid w:val="3B930A87"/>
    <w:rsid w:val="3BC81F2F"/>
    <w:rsid w:val="3C051C75"/>
    <w:rsid w:val="3C1C28D6"/>
    <w:rsid w:val="3C251DB5"/>
    <w:rsid w:val="3C5805BB"/>
    <w:rsid w:val="3C7A2B7F"/>
    <w:rsid w:val="3CA2317C"/>
    <w:rsid w:val="3D19430A"/>
    <w:rsid w:val="3D5011B8"/>
    <w:rsid w:val="3D6A1835"/>
    <w:rsid w:val="3D846824"/>
    <w:rsid w:val="3DBB6B44"/>
    <w:rsid w:val="3DF62A48"/>
    <w:rsid w:val="3E030004"/>
    <w:rsid w:val="3E517447"/>
    <w:rsid w:val="3E7F34A9"/>
    <w:rsid w:val="3EED6165"/>
    <w:rsid w:val="3F545119"/>
    <w:rsid w:val="3F637647"/>
    <w:rsid w:val="3F6F1387"/>
    <w:rsid w:val="3FDC0E22"/>
    <w:rsid w:val="3FE456D2"/>
    <w:rsid w:val="4008712A"/>
    <w:rsid w:val="40524D14"/>
    <w:rsid w:val="405D46C9"/>
    <w:rsid w:val="40907DAF"/>
    <w:rsid w:val="409853A5"/>
    <w:rsid w:val="40E02836"/>
    <w:rsid w:val="4146465B"/>
    <w:rsid w:val="4155785B"/>
    <w:rsid w:val="41A905A0"/>
    <w:rsid w:val="41CF6FAF"/>
    <w:rsid w:val="4256277B"/>
    <w:rsid w:val="428216CB"/>
    <w:rsid w:val="432302C5"/>
    <w:rsid w:val="4340220D"/>
    <w:rsid w:val="43567B77"/>
    <w:rsid w:val="43664E65"/>
    <w:rsid w:val="43855C5A"/>
    <w:rsid w:val="439A6018"/>
    <w:rsid w:val="43B26CF6"/>
    <w:rsid w:val="43E6139C"/>
    <w:rsid w:val="43F2018C"/>
    <w:rsid w:val="44641549"/>
    <w:rsid w:val="449B3181"/>
    <w:rsid w:val="44C846AA"/>
    <w:rsid w:val="44D600A8"/>
    <w:rsid w:val="44D80D4E"/>
    <w:rsid w:val="44F5253F"/>
    <w:rsid w:val="45031489"/>
    <w:rsid w:val="452C64A6"/>
    <w:rsid w:val="45513155"/>
    <w:rsid w:val="459E24F5"/>
    <w:rsid w:val="45C90EE1"/>
    <w:rsid w:val="45E17D06"/>
    <w:rsid w:val="464D22AD"/>
    <w:rsid w:val="465A7BFA"/>
    <w:rsid w:val="46835CB7"/>
    <w:rsid w:val="468A08B0"/>
    <w:rsid w:val="46FF6766"/>
    <w:rsid w:val="473C41C6"/>
    <w:rsid w:val="475070B2"/>
    <w:rsid w:val="47750670"/>
    <w:rsid w:val="47866C6F"/>
    <w:rsid w:val="47AA6404"/>
    <w:rsid w:val="47B02DA9"/>
    <w:rsid w:val="47C27566"/>
    <w:rsid w:val="47D21044"/>
    <w:rsid w:val="47F57CB8"/>
    <w:rsid w:val="4800731A"/>
    <w:rsid w:val="482647F5"/>
    <w:rsid w:val="48584746"/>
    <w:rsid w:val="48D90071"/>
    <w:rsid w:val="48E91271"/>
    <w:rsid w:val="490D4420"/>
    <w:rsid w:val="49676F1C"/>
    <w:rsid w:val="497C1390"/>
    <w:rsid w:val="49A117F4"/>
    <w:rsid w:val="49A74113"/>
    <w:rsid w:val="49ED20A7"/>
    <w:rsid w:val="49FD3A23"/>
    <w:rsid w:val="4A8B1758"/>
    <w:rsid w:val="4AAA17BF"/>
    <w:rsid w:val="4ACB2E32"/>
    <w:rsid w:val="4AD7609D"/>
    <w:rsid w:val="4B2F2807"/>
    <w:rsid w:val="4BA02FEA"/>
    <w:rsid w:val="4BBD39D0"/>
    <w:rsid w:val="4BDF0613"/>
    <w:rsid w:val="4C0A1E25"/>
    <w:rsid w:val="4C1557EA"/>
    <w:rsid w:val="4C275006"/>
    <w:rsid w:val="4C411900"/>
    <w:rsid w:val="4C5673DA"/>
    <w:rsid w:val="4CAA27B3"/>
    <w:rsid w:val="4CEB17A5"/>
    <w:rsid w:val="4CF333CC"/>
    <w:rsid w:val="4D0A6B5B"/>
    <w:rsid w:val="4D3D742C"/>
    <w:rsid w:val="4D6F0CF1"/>
    <w:rsid w:val="4D85494F"/>
    <w:rsid w:val="4D946CEB"/>
    <w:rsid w:val="4DA5244F"/>
    <w:rsid w:val="4DAC5888"/>
    <w:rsid w:val="4DAD7A74"/>
    <w:rsid w:val="4DCE3F70"/>
    <w:rsid w:val="4DEF5A4C"/>
    <w:rsid w:val="4E425746"/>
    <w:rsid w:val="4E4A4CCD"/>
    <w:rsid w:val="4EB71617"/>
    <w:rsid w:val="4ED721E0"/>
    <w:rsid w:val="4EEC790E"/>
    <w:rsid w:val="4F0017E3"/>
    <w:rsid w:val="4F1C75DD"/>
    <w:rsid w:val="4F2604A7"/>
    <w:rsid w:val="4F31425D"/>
    <w:rsid w:val="4F5E759C"/>
    <w:rsid w:val="4F860D66"/>
    <w:rsid w:val="4F8704DB"/>
    <w:rsid w:val="4FB65B40"/>
    <w:rsid w:val="4FCF6062"/>
    <w:rsid w:val="50092E02"/>
    <w:rsid w:val="502E3EAA"/>
    <w:rsid w:val="50564501"/>
    <w:rsid w:val="508017EB"/>
    <w:rsid w:val="50CE2967"/>
    <w:rsid w:val="50F1364F"/>
    <w:rsid w:val="51252BD4"/>
    <w:rsid w:val="519250A0"/>
    <w:rsid w:val="51A835BB"/>
    <w:rsid w:val="51D354A7"/>
    <w:rsid w:val="526877FF"/>
    <w:rsid w:val="52786408"/>
    <w:rsid w:val="52D907B0"/>
    <w:rsid w:val="533E6E39"/>
    <w:rsid w:val="53403CF5"/>
    <w:rsid w:val="53BF2B29"/>
    <w:rsid w:val="53C34D93"/>
    <w:rsid w:val="53C438F2"/>
    <w:rsid w:val="541F54E7"/>
    <w:rsid w:val="54B671AD"/>
    <w:rsid w:val="54D16094"/>
    <w:rsid w:val="550E24BA"/>
    <w:rsid w:val="551277C9"/>
    <w:rsid w:val="55182C17"/>
    <w:rsid w:val="551A6340"/>
    <w:rsid w:val="554208B9"/>
    <w:rsid w:val="5590159D"/>
    <w:rsid w:val="5631293E"/>
    <w:rsid w:val="564712CC"/>
    <w:rsid w:val="564F30B1"/>
    <w:rsid w:val="566142E4"/>
    <w:rsid w:val="569F45B1"/>
    <w:rsid w:val="56AC1346"/>
    <w:rsid w:val="574F2C79"/>
    <w:rsid w:val="57704D81"/>
    <w:rsid w:val="57720C61"/>
    <w:rsid w:val="579E505E"/>
    <w:rsid w:val="57BC1C15"/>
    <w:rsid w:val="57F6462C"/>
    <w:rsid w:val="582B72E4"/>
    <w:rsid w:val="58336D9F"/>
    <w:rsid w:val="5891480A"/>
    <w:rsid w:val="58A46AD5"/>
    <w:rsid w:val="58AE0241"/>
    <w:rsid w:val="58AE3724"/>
    <w:rsid w:val="58C117A9"/>
    <w:rsid w:val="58C8521A"/>
    <w:rsid w:val="58D56B81"/>
    <w:rsid w:val="58FF515A"/>
    <w:rsid w:val="59083EBE"/>
    <w:rsid w:val="59724272"/>
    <w:rsid w:val="59C77F4D"/>
    <w:rsid w:val="59CF10D9"/>
    <w:rsid w:val="59D5471C"/>
    <w:rsid w:val="5A550503"/>
    <w:rsid w:val="5A633F41"/>
    <w:rsid w:val="5A7E7E77"/>
    <w:rsid w:val="5A95262A"/>
    <w:rsid w:val="5AAF3993"/>
    <w:rsid w:val="5AC064DA"/>
    <w:rsid w:val="5AC2545B"/>
    <w:rsid w:val="5AE04164"/>
    <w:rsid w:val="5B001F46"/>
    <w:rsid w:val="5B031854"/>
    <w:rsid w:val="5B323AC2"/>
    <w:rsid w:val="5B752273"/>
    <w:rsid w:val="5B75378B"/>
    <w:rsid w:val="5B7E0F4F"/>
    <w:rsid w:val="5B877039"/>
    <w:rsid w:val="5B9B3C60"/>
    <w:rsid w:val="5BC60D5F"/>
    <w:rsid w:val="5C303736"/>
    <w:rsid w:val="5C4702CE"/>
    <w:rsid w:val="5C701C06"/>
    <w:rsid w:val="5D030ABF"/>
    <w:rsid w:val="5D1A20DD"/>
    <w:rsid w:val="5D1B07A5"/>
    <w:rsid w:val="5D9551DF"/>
    <w:rsid w:val="5DDA794E"/>
    <w:rsid w:val="5DED1438"/>
    <w:rsid w:val="5DEE53BE"/>
    <w:rsid w:val="5DF9688E"/>
    <w:rsid w:val="5E010525"/>
    <w:rsid w:val="5E317EC3"/>
    <w:rsid w:val="5E6A0EE1"/>
    <w:rsid w:val="5E781EA8"/>
    <w:rsid w:val="5ECD30B3"/>
    <w:rsid w:val="5F063AA3"/>
    <w:rsid w:val="5F235EBB"/>
    <w:rsid w:val="5F356AD6"/>
    <w:rsid w:val="5F567596"/>
    <w:rsid w:val="5F5B7868"/>
    <w:rsid w:val="5F930CB8"/>
    <w:rsid w:val="5FED1F21"/>
    <w:rsid w:val="60BD14D2"/>
    <w:rsid w:val="60C65E6F"/>
    <w:rsid w:val="60EC72F8"/>
    <w:rsid w:val="611E6C81"/>
    <w:rsid w:val="61733AA0"/>
    <w:rsid w:val="61B87CC9"/>
    <w:rsid w:val="622B42B3"/>
    <w:rsid w:val="625C2BE6"/>
    <w:rsid w:val="626C1D1F"/>
    <w:rsid w:val="6271438E"/>
    <w:rsid w:val="627D78B4"/>
    <w:rsid w:val="62A61CA4"/>
    <w:rsid w:val="633004D2"/>
    <w:rsid w:val="63460CBD"/>
    <w:rsid w:val="636E1941"/>
    <w:rsid w:val="637A221F"/>
    <w:rsid w:val="63954293"/>
    <w:rsid w:val="63C645B0"/>
    <w:rsid w:val="640407E7"/>
    <w:rsid w:val="6480195C"/>
    <w:rsid w:val="650A244C"/>
    <w:rsid w:val="65A9693F"/>
    <w:rsid w:val="66041D9D"/>
    <w:rsid w:val="662D714A"/>
    <w:rsid w:val="665C0165"/>
    <w:rsid w:val="66B16346"/>
    <w:rsid w:val="66F4505A"/>
    <w:rsid w:val="670157B6"/>
    <w:rsid w:val="6748022D"/>
    <w:rsid w:val="67860A6B"/>
    <w:rsid w:val="67B1490E"/>
    <w:rsid w:val="681C59B1"/>
    <w:rsid w:val="682B1F05"/>
    <w:rsid w:val="684F6CD8"/>
    <w:rsid w:val="68740D42"/>
    <w:rsid w:val="68917132"/>
    <w:rsid w:val="68A2093D"/>
    <w:rsid w:val="68C50D7B"/>
    <w:rsid w:val="68DB71D7"/>
    <w:rsid w:val="69435EEB"/>
    <w:rsid w:val="69453BED"/>
    <w:rsid w:val="694F6D97"/>
    <w:rsid w:val="695015E7"/>
    <w:rsid w:val="697C5277"/>
    <w:rsid w:val="69CC30A8"/>
    <w:rsid w:val="69DF4DB9"/>
    <w:rsid w:val="6A1F4E3E"/>
    <w:rsid w:val="6A490DF5"/>
    <w:rsid w:val="6ADE2E6E"/>
    <w:rsid w:val="6AFF6C64"/>
    <w:rsid w:val="6B343CE8"/>
    <w:rsid w:val="6B391862"/>
    <w:rsid w:val="6B781F7C"/>
    <w:rsid w:val="6B87632F"/>
    <w:rsid w:val="6B906200"/>
    <w:rsid w:val="6BC45EF6"/>
    <w:rsid w:val="6BC6205F"/>
    <w:rsid w:val="6C100BD4"/>
    <w:rsid w:val="6C7B43BB"/>
    <w:rsid w:val="6C83240E"/>
    <w:rsid w:val="6C9A2556"/>
    <w:rsid w:val="6D043975"/>
    <w:rsid w:val="6D2C7CDC"/>
    <w:rsid w:val="6D4363E7"/>
    <w:rsid w:val="6D627CBC"/>
    <w:rsid w:val="6E7011B9"/>
    <w:rsid w:val="6E914135"/>
    <w:rsid w:val="6F0A3639"/>
    <w:rsid w:val="6F2830F1"/>
    <w:rsid w:val="6F5E0F67"/>
    <w:rsid w:val="6F6B6C81"/>
    <w:rsid w:val="6FDA5704"/>
    <w:rsid w:val="6FEA04C8"/>
    <w:rsid w:val="703B5FB3"/>
    <w:rsid w:val="7087680E"/>
    <w:rsid w:val="70A73E68"/>
    <w:rsid w:val="70B72F54"/>
    <w:rsid w:val="70F80D2D"/>
    <w:rsid w:val="710222EB"/>
    <w:rsid w:val="71352EA6"/>
    <w:rsid w:val="71457011"/>
    <w:rsid w:val="71B12EC4"/>
    <w:rsid w:val="71DF4B8F"/>
    <w:rsid w:val="71EB6CE3"/>
    <w:rsid w:val="724E745D"/>
    <w:rsid w:val="72657D35"/>
    <w:rsid w:val="72761E6C"/>
    <w:rsid w:val="72766A0E"/>
    <w:rsid w:val="73117A5D"/>
    <w:rsid w:val="73231334"/>
    <w:rsid w:val="738A200A"/>
    <w:rsid w:val="738B6341"/>
    <w:rsid w:val="739D4097"/>
    <w:rsid w:val="743E7985"/>
    <w:rsid w:val="74514E3E"/>
    <w:rsid w:val="74532D5B"/>
    <w:rsid w:val="74F61A8F"/>
    <w:rsid w:val="7500594E"/>
    <w:rsid w:val="758448B0"/>
    <w:rsid w:val="758F5C59"/>
    <w:rsid w:val="759E5197"/>
    <w:rsid w:val="75D43771"/>
    <w:rsid w:val="76A91F08"/>
    <w:rsid w:val="77284FBD"/>
    <w:rsid w:val="776F5D57"/>
    <w:rsid w:val="77834C0D"/>
    <w:rsid w:val="779147E7"/>
    <w:rsid w:val="77A67D1B"/>
    <w:rsid w:val="77AA2B1C"/>
    <w:rsid w:val="77D940BC"/>
    <w:rsid w:val="77F36C3B"/>
    <w:rsid w:val="77FF79BC"/>
    <w:rsid w:val="78D56CA9"/>
    <w:rsid w:val="78E241F8"/>
    <w:rsid w:val="78EC3006"/>
    <w:rsid w:val="790F1E0D"/>
    <w:rsid w:val="79467DC2"/>
    <w:rsid w:val="79EB38B0"/>
    <w:rsid w:val="79FA79C2"/>
    <w:rsid w:val="79FF63EF"/>
    <w:rsid w:val="7A0D0409"/>
    <w:rsid w:val="7A954077"/>
    <w:rsid w:val="7AF339C7"/>
    <w:rsid w:val="7B084D4E"/>
    <w:rsid w:val="7B531F68"/>
    <w:rsid w:val="7B626A6E"/>
    <w:rsid w:val="7BA63D45"/>
    <w:rsid w:val="7BCF01D6"/>
    <w:rsid w:val="7C0D2757"/>
    <w:rsid w:val="7C234206"/>
    <w:rsid w:val="7C7B7485"/>
    <w:rsid w:val="7CD87E38"/>
    <w:rsid w:val="7CE60229"/>
    <w:rsid w:val="7D344D17"/>
    <w:rsid w:val="7DA80E6D"/>
    <w:rsid w:val="7DAC2B91"/>
    <w:rsid w:val="7DCB4470"/>
    <w:rsid w:val="7DDB17A2"/>
    <w:rsid w:val="7DE4201D"/>
    <w:rsid w:val="7E0708BC"/>
    <w:rsid w:val="7E142BB3"/>
    <w:rsid w:val="7E2B47DF"/>
    <w:rsid w:val="7E7206CB"/>
    <w:rsid w:val="7F705E71"/>
    <w:rsid w:val="7F9A070A"/>
    <w:rsid w:val="7FE52BBE"/>
    <w:rsid w:val="7FF641A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99" w:semiHidden="0" w:name="Normal Indent"/>
    <w:lsdException w:qFormat="1" w:unhideWhenUsed="0" w:uiPriority="99" w:semiHidden="0"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iPriority="0" w:semiHidden="0" w:name="annotation reference"/>
    <w:lsdException w:qFormat="1" w:uiPriority="99" w:semiHidden="0"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qFormat="1"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iPriority="99" w:semiHidden="0" w:name="Plain Text"/>
    <w:lsdException w:uiPriority="99" w:name="E-mail Signature"/>
    <w:lsdException w:qFormat="1" w:uiPriority="99"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qFormat="1" w:uiPriority="99" w:semiHidden="0" w:name="HTML Preformatted"/>
    <w:lsdException w:qFormat="1" w:uiPriority="99" w:semiHidden="0" w:name="HTML Sample"/>
    <w:lsdException w:uiPriority="99" w:name="HTML Typewriter"/>
    <w:lsdException w:qFormat="1" w:uiPriority="99" w:semiHidden="0"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66"/>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5">
    <w:name w:val="heading 2"/>
    <w:basedOn w:val="1"/>
    <w:next w:val="1"/>
    <w:link w:val="96"/>
    <w:qFormat/>
    <w:uiPriority w:val="0"/>
    <w:pPr>
      <w:keepNext/>
      <w:keepLines/>
      <w:numPr>
        <w:ilvl w:val="1"/>
        <w:numId w:val="1"/>
      </w:numPr>
      <w:tabs>
        <w:tab w:val="left" w:pos="720"/>
      </w:tabs>
      <w:adjustRightInd w:val="0"/>
      <w:spacing w:before="60" w:after="60" w:line="412" w:lineRule="auto"/>
      <w:outlineLvl w:val="1"/>
    </w:pPr>
    <w:rPr>
      <w:rFonts w:ascii="Times New Roman" w:hAnsi="Times New Roman" w:eastAsia="黑体" w:cs="Times New Roman"/>
      <w:b/>
      <w:bCs/>
      <w:kern w:val="0"/>
      <w:sz w:val="32"/>
      <w:szCs w:val="32"/>
    </w:rPr>
  </w:style>
  <w:style w:type="paragraph" w:styleId="6">
    <w:name w:val="heading 3"/>
    <w:basedOn w:val="1"/>
    <w:next w:val="1"/>
    <w:link w:val="68"/>
    <w:qFormat/>
    <w:uiPriority w:val="0"/>
    <w:pPr>
      <w:keepNext/>
      <w:keepLines/>
      <w:spacing w:before="260" w:after="260" w:line="416" w:lineRule="auto"/>
      <w:outlineLvl w:val="2"/>
    </w:pPr>
    <w:rPr>
      <w:rFonts w:ascii="Times New Roman" w:hAnsi="Times New Roman" w:eastAsia="宋体" w:cs="Times New Roman"/>
      <w:b/>
      <w:bCs/>
      <w:sz w:val="32"/>
      <w:szCs w:val="32"/>
    </w:rPr>
  </w:style>
  <w:style w:type="paragraph" w:styleId="7">
    <w:name w:val="heading 4"/>
    <w:basedOn w:val="1"/>
    <w:next w:val="1"/>
    <w:link w:val="97"/>
    <w:qFormat/>
    <w:uiPriority w:val="9"/>
    <w:pPr>
      <w:keepNext/>
      <w:keepLines/>
      <w:spacing w:before="280" w:after="290" w:line="376" w:lineRule="auto"/>
      <w:outlineLvl w:val="3"/>
    </w:pPr>
    <w:rPr>
      <w:rFonts w:ascii="Cambria" w:hAnsi="Cambria" w:eastAsia="宋体" w:cs="Times New Roman"/>
      <w:b/>
      <w:bCs/>
      <w:sz w:val="28"/>
      <w:szCs w:val="28"/>
    </w:rPr>
  </w:style>
  <w:style w:type="paragraph" w:styleId="8">
    <w:name w:val="heading 5"/>
    <w:basedOn w:val="1"/>
    <w:next w:val="1"/>
    <w:link w:val="70"/>
    <w:qFormat/>
    <w:uiPriority w:val="0"/>
    <w:pPr>
      <w:keepNext/>
      <w:keepLines/>
      <w:spacing w:before="280" w:after="290" w:line="372" w:lineRule="auto"/>
      <w:outlineLvl w:val="4"/>
    </w:pPr>
    <w:rPr>
      <w:rFonts w:ascii="Times New Roman" w:hAnsi="Times New Roman" w:eastAsia="宋体" w:cs="Times New Roman"/>
      <w:b/>
      <w:sz w:val="28"/>
    </w:rPr>
  </w:style>
  <w:style w:type="paragraph" w:styleId="9">
    <w:name w:val="heading 6"/>
    <w:basedOn w:val="1"/>
    <w:next w:val="1"/>
    <w:link w:val="71"/>
    <w:qFormat/>
    <w:uiPriority w:val="0"/>
    <w:pPr>
      <w:keepNext/>
      <w:keepLines/>
      <w:spacing w:before="240" w:after="64" w:line="320" w:lineRule="auto"/>
      <w:ind w:left="1151" w:hanging="1151"/>
      <w:outlineLvl w:val="5"/>
    </w:pPr>
    <w:rPr>
      <w:rFonts w:ascii="Cambria" w:hAnsi="Cambria" w:eastAsia="仿宋_GB2312" w:cs="Times New Roman"/>
      <w:b/>
      <w:bCs/>
      <w:sz w:val="24"/>
      <w:szCs w:val="24"/>
    </w:rPr>
  </w:style>
  <w:style w:type="paragraph" w:styleId="10">
    <w:name w:val="heading 7"/>
    <w:basedOn w:val="1"/>
    <w:next w:val="1"/>
    <w:link w:val="72"/>
    <w:qFormat/>
    <w:uiPriority w:val="0"/>
    <w:pPr>
      <w:keepNext/>
      <w:keepLines/>
      <w:spacing w:line="317" w:lineRule="auto"/>
      <w:ind w:left="1296" w:hanging="1296"/>
      <w:outlineLvl w:val="6"/>
    </w:pPr>
    <w:rPr>
      <w:rFonts w:ascii="仿宋_GB2312" w:hAnsi="Times New Roman" w:eastAsia="仿宋_GB2312" w:cs="Times New Roman"/>
      <w:b/>
      <w:sz w:val="24"/>
      <w:szCs w:val="21"/>
    </w:rPr>
  </w:style>
  <w:style w:type="paragraph" w:styleId="11">
    <w:name w:val="heading 8"/>
    <w:basedOn w:val="1"/>
    <w:next w:val="1"/>
    <w:link w:val="73"/>
    <w:qFormat/>
    <w:uiPriority w:val="0"/>
    <w:pPr>
      <w:keepNext/>
      <w:keepLines/>
      <w:spacing w:line="317" w:lineRule="auto"/>
      <w:ind w:left="1440" w:hanging="1440"/>
      <w:outlineLvl w:val="7"/>
    </w:pPr>
    <w:rPr>
      <w:rFonts w:ascii="Arial" w:hAnsi="Arial" w:eastAsia="黑体" w:cs="Times New Roman"/>
      <w:sz w:val="24"/>
      <w:szCs w:val="21"/>
    </w:rPr>
  </w:style>
  <w:style w:type="paragraph" w:styleId="12">
    <w:name w:val="heading 9"/>
    <w:basedOn w:val="1"/>
    <w:next w:val="1"/>
    <w:link w:val="74"/>
    <w:qFormat/>
    <w:uiPriority w:val="0"/>
    <w:pPr>
      <w:keepNext/>
      <w:keepLines/>
      <w:spacing w:line="317" w:lineRule="auto"/>
      <w:ind w:left="1583" w:hanging="1583"/>
      <w:outlineLvl w:val="8"/>
    </w:pPr>
    <w:rPr>
      <w:rFonts w:ascii="Arial" w:hAnsi="Arial" w:eastAsia="黑体" w:cs="Times New Roman"/>
      <w:sz w:val="24"/>
      <w:szCs w:val="21"/>
    </w:r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82"/>
    <w:qFormat/>
    <w:uiPriority w:val="0"/>
    <w:pPr>
      <w:spacing w:after="0"/>
      <w:ind w:left="0" w:leftChars="0" w:firstLine="420" w:firstLineChars="200"/>
    </w:pPr>
    <w:rPr>
      <w:rFonts w:ascii="Times New Roman" w:hAnsi="Times New Roman"/>
      <w:sz w:val="24"/>
      <w:szCs w:val="24"/>
    </w:rPr>
  </w:style>
  <w:style w:type="paragraph" w:styleId="3">
    <w:name w:val="Body Text Indent"/>
    <w:basedOn w:val="1"/>
    <w:link w:val="78"/>
    <w:unhideWhenUsed/>
    <w:qFormat/>
    <w:uiPriority w:val="99"/>
    <w:pPr>
      <w:spacing w:after="120"/>
      <w:ind w:left="420" w:leftChars="200"/>
    </w:pPr>
  </w:style>
  <w:style w:type="paragraph" w:styleId="13">
    <w:name w:val="toc 7"/>
    <w:basedOn w:val="1"/>
    <w:next w:val="1"/>
    <w:unhideWhenUsed/>
    <w:qFormat/>
    <w:uiPriority w:val="39"/>
    <w:pPr>
      <w:ind w:left="2520" w:leftChars="1200"/>
    </w:pPr>
    <w:rPr>
      <w:rFonts w:ascii="Calibri" w:hAnsi="Calibri" w:eastAsia="宋体" w:cs="Times New Roman"/>
    </w:rPr>
  </w:style>
  <w:style w:type="paragraph" w:styleId="14">
    <w:name w:val="Normal Indent"/>
    <w:basedOn w:val="1"/>
    <w:qFormat/>
    <w:uiPriority w:val="99"/>
    <w:pPr>
      <w:ind w:firstLine="567"/>
    </w:pPr>
    <w:rPr>
      <w:rFonts w:ascii="Times New Roman" w:hAnsi="Times New Roman" w:eastAsia="宋体" w:cs="黑体"/>
      <w:sz w:val="28"/>
      <w:szCs w:val="24"/>
    </w:rPr>
  </w:style>
  <w:style w:type="paragraph" w:styleId="15">
    <w:name w:val="caption"/>
    <w:basedOn w:val="1"/>
    <w:next w:val="1"/>
    <w:link w:val="132"/>
    <w:qFormat/>
    <w:uiPriority w:val="0"/>
    <w:rPr>
      <w:rFonts w:ascii="Arial" w:hAnsi="Arial" w:eastAsia="黑体"/>
    </w:rPr>
  </w:style>
  <w:style w:type="paragraph" w:styleId="16">
    <w:name w:val="Document Map"/>
    <w:basedOn w:val="1"/>
    <w:link w:val="63"/>
    <w:unhideWhenUsed/>
    <w:qFormat/>
    <w:uiPriority w:val="99"/>
    <w:rPr>
      <w:rFonts w:ascii="宋体" w:eastAsia="宋体"/>
      <w:sz w:val="18"/>
      <w:szCs w:val="18"/>
    </w:rPr>
  </w:style>
  <w:style w:type="paragraph" w:styleId="17">
    <w:name w:val="annotation text"/>
    <w:basedOn w:val="1"/>
    <w:link w:val="65"/>
    <w:unhideWhenUsed/>
    <w:qFormat/>
    <w:uiPriority w:val="0"/>
    <w:pPr>
      <w:jc w:val="left"/>
    </w:pPr>
  </w:style>
  <w:style w:type="paragraph" w:styleId="18">
    <w:name w:val="Salutation"/>
    <w:basedOn w:val="1"/>
    <w:next w:val="1"/>
    <w:link w:val="509"/>
    <w:unhideWhenUsed/>
    <w:qFormat/>
    <w:uiPriority w:val="0"/>
    <w:rPr>
      <w:rFonts w:ascii="Times New Roman" w:hAnsi="Times New Roman" w:eastAsia="宋体" w:cs="Times New Roman"/>
    </w:rPr>
  </w:style>
  <w:style w:type="paragraph" w:styleId="19">
    <w:name w:val="Body Text"/>
    <w:basedOn w:val="1"/>
    <w:link w:val="76"/>
    <w:unhideWhenUsed/>
    <w:qFormat/>
    <w:uiPriority w:val="0"/>
    <w:pPr>
      <w:spacing w:after="120"/>
    </w:pPr>
  </w:style>
  <w:style w:type="paragraph" w:styleId="20">
    <w:name w:val="Block Text"/>
    <w:basedOn w:val="1"/>
    <w:link w:val="330"/>
    <w:qFormat/>
    <w:uiPriority w:val="0"/>
    <w:pPr>
      <w:ind w:left="420" w:leftChars="200" w:right="420" w:rightChars="200"/>
    </w:pPr>
    <w:rPr>
      <w:rFonts w:ascii="Times New Roman" w:hAnsi="Times New Roman"/>
      <w:sz w:val="32"/>
      <w:szCs w:val="24"/>
    </w:rPr>
  </w:style>
  <w:style w:type="paragraph" w:styleId="21">
    <w:name w:val="toc 5"/>
    <w:basedOn w:val="1"/>
    <w:next w:val="1"/>
    <w:unhideWhenUsed/>
    <w:qFormat/>
    <w:uiPriority w:val="39"/>
    <w:pPr>
      <w:ind w:left="1680" w:leftChars="800"/>
    </w:pPr>
    <w:rPr>
      <w:rFonts w:ascii="Calibri" w:hAnsi="Calibri" w:eastAsia="宋体" w:cs="Times New Roman"/>
    </w:rPr>
  </w:style>
  <w:style w:type="paragraph" w:styleId="22">
    <w:name w:val="toc 3"/>
    <w:basedOn w:val="1"/>
    <w:next w:val="1"/>
    <w:unhideWhenUsed/>
    <w:qFormat/>
    <w:uiPriority w:val="39"/>
    <w:pPr>
      <w:ind w:left="840" w:leftChars="400"/>
    </w:pPr>
    <w:rPr>
      <w:rFonts w:ascii="Times New Roman" w:hAnsi="Times New Roman" w:eastAsia="宋体" w:cs="Times New Roman"/>
    </w:rPr>
  </w:style>
  <w:style w:type="paragraph" w:styleId="23">
    <w:name w:val="Plain Text"/>
    <w:basedOn w:val="1"/>
    <w:link w:val="79"/>
    <w:unhideWhenUsed/>
    <w:qFormat/>
    <w:uiPriority w:val="99"/>
    <w:pPr>
      <w:spacing w:line="360" w:lineRule="auto"/>
    </w:pPr>
    <w:rPr>
      <w:rFonts w:ascii="宋体" w:hAnsi="Courier New" w:cs="Courier New"/>
      <w:szCs w:val="21"/>
    </w:rPr>
  </w:style>
  <w:style w:type="paragraph" w:styleId="24">
    <w:name w:val="toc 8"/>
    <w:basedOn w:val="1"/>
    <w:next w:val="1"/>
    <w:unhideWhenUsed/>
    <w:qFormat/>
    <w:uiPriority w:val="39"/>
    <w:pPr>
      <w:ind w:left="2940" w:leftChars="1400"/>
    </w:pPr>
    <w:rPr>
      <w:rFonts w:ascii="Calibri" w:hAnsi="Calibri" w:eastAsia="宋体" w:cs="Times New Roman"/>
    </w:rPr>
  </w:style>
  <w:style w:type="paragraph" w:styleId="25">
    <w:name w:val="Date"/>
    <w:basedOn w:val="1"/>
    <w:next w:val="1"/>
    <w:link w:val="80"/>
    <w:qFormat/>
    <w:uiPriority w:val="99"/>
    <w:pPr>
      <w:ind w:left="100" w:leftChars="2500"/>
    </w:pPr>
    <w:rPr>
      <w:sz w:val="28"/>
      <w:szCs w:val="24"/>
    </w:rPr>
  </w:style>
  <w:style w:type="paragraph" w:styleId="26">
    <w:name w:val="Body Text Indent 2"/>
    <w:basedOn w:val="1"/>
    <w:link w:val="81"/>
    <w:qFormat/>
    <w:uiPriority w:val="99"/>
    <w:pPr>
      <w:widowControl/>
      <w:autoSpaceDE w:val="0"/>
      <w:autoSpaceDN w:val="0"/>
      <w:adjustRightInd w:val="0"/>
      <w:spacing w:after="120" w:line="480" w:lineRule="auto"/>
      <w:ind w:left="420" w:leftChars="200"/>
      <w:jc w:val="left"/>
      <w:textAlignment w:val="baseline"/>
    </w:pPr>
    <w:rPr>
      <w:sz w:val="28"/>
    </w:rPr>
  </w:style>
  <w:style w:type="paragraph" w:styleId="27">
    <w:name w:val="Balloon Text"/>
    <w:basedOn w:val="1"/>
    <w:link w:val="64"/>
    <w:unhideWhenUsed/>
    <w:qFormat/>
    <w:uiPriority w:val="99"/>
    <w:rPr>
      <w:sz w:val="18"/>
      <w:szCs w:val="18"/>
    </w:rPr>
  </w:style>
  <w:style w:type="paragraph" w:styleId="28">
    <w:name w:val="footer"/>
    <w:basedOn w:val="1"/>
    <w:link w:val="62"/>
    <w:unhideWhenUsed/>
    <w:qFormat/>
    <w:uiPriority w:val="99"/>
    <w:pPr>
      <w:tabs>
        <w:tab w:val="center" w:pos="4153"/>
        <w:tab w:val="right" w:pos="8306"/>
      </w:tabs>
      <w:snapToGrid w:val="0"/>
      <w:jc w:val="left"/>
    </w:pPr>
    <w:rPr>
      <w:sz w:val="18"/>
      <w:szCs w:val="18"/>
    </w:rPr>
  </w:style>
  <w:style w:type="paragraph" w:styleId="29">
    <w:name w:val="header"/>
    <w:basedOn w:val="1"/>
    <w:link w:val="61"/>
    <w:unhideWhenUsed/>
    <w:qFormat/>
    <w:uiPriority w:val="99"/>
    <w:pPr>
      <w:pBdr>
        <w:bottom w:val="single" w:color="auto" w:sz="6" w:space="1"/>
      </w:pBdr>
      <w:tabs>
        <w:tab w:val="center" w:pos="4153"/>
        <w:tab w:val="right" w:pos="8306"/>
      </w:tabs>
      <w:snapToGrid w:val="0"/>
      <w:jc w:val="center"/>
    </w:pPr>
    <w:rPr>
      <w:sz w:val="18"/>
      <w:szCs w:val="18"/>
    </w:rPr>
  </w:style>
  <w:style w:type="paragraph" w:styleId="30">
    <w:name w:val="toc 1"/>
    <w:basedOn w:val="1"/>
    <w:next w:val="1"/>
    <w:unhideWhenUsed/>
    <w:qFormat/>
    <w:uiPriority w:val="39"/>
    <w:pPr>
      <w:tabs>
        <w:tab w:val="right" w:leader="dot" w:pos="8302"/>
      </w:tabs>
    </w:pPr>
    <w:rPr>
      <w:rFonts w:ascii="黑体" w:hAnsi="黑体" w:eastAsia="黑体" w:cs="Times New Roman"/>
      <w:b/>
      <w:bCs/>
      <w:kern w:val="44"/>
      <w:sz w:val="28"/>
      <w:szCs w:val="28"/>
      <w:lang w:val="zh-CN"/>
    </w:rPr>
  </w:style>
  <w:style w:type="paragraph" w:styleId="31">
    <w:name w:val="toc 4"/>
    <w:basedOn w:val="1"/>
    <w:next w:val="1"/>
    <w:unhideWhenUsed/>
    <w:qFormat/>
    <w:uiPriority w:val="39"/>
    <w:pPr>
      <w:ind w:left="1260" w:leftChars="600"/>
    </w:pPr>
    <w:rPr>
      <w:rFonts w:ascii="Calibri" w:hAnsi="Calibri" w:eastAsia="宋体" w:cs="Times New Roman"/>
    </w:rPr>
  </w:style>
  <w:style w:type="paragraph" w:styleId="32">
    <w:name w:val="Subtitle"/>
    <w:basedOn w:val="1"/>
    <w:next w:val="1"/>
    <w:link w:val="83"/>
    <w:qFormat/>
    <w:uiPriority w:val="11"/>
    <w:pPr>
      <w:spacing w:before="240" w:after="60" w:line="312" w:lineRule="atLeast"/>
      <w:jc w:val="center"/>
      <w:outlineLvl w:val="1"/>
    </w:pPr>
    <w:rPr>
      <w:rFonts w:ascii="Cambria" w:hAnsi="Cambria"/>
      <w:b/>
      <w:bCs/>
      <w:kern w:val="28"/>
      <w:sz w:val="32"/>
      <w:szCs w:val="32"/>
    </w:rPr>
  </w:style>
  <w:style w:type="paragraph" w:styleId="33">
    <w:name w:val="footnote text"/>
    <w:basedOn w:val="1"/>
    <w:link w:val="84"/>
    <w:qFormat/>
    <w:uiPriority w:val="99"/>
    <w:pPr>
      <w:snapToGrid w:val="0"/>
      <w:spacing w:line="360" w:lineRule="auto"/>
      <w:jc w:val="left"/>
    </w:pPr>
    <w:rPr>
      <w:sz w:val="18"/>
      <w:szCs w:val="18"/>
    </w:rPr>
  </w:style>
  <w:style w:type="paragraph" w:styleId="34">
    <w:name w:val="toc 6"/>
    <w:basedOn w:val="1"/>
    <w:next w:val="1"/>
    <w:unhideWhenUsed/>
    <w:qFormat/>
    <w:uiPriority w:val="39"/>
    <w:pPr>
      <w:ind w:left="2100" w:leftChars="1000"/>
    </w:pPr>
    <w:rPr>
      <w:rFonts w:ascii="Calibri" w:hAnsi="Calibri" w:eastAsia="宋体" w:cs="Times New Roman"/>
    </w:rPr>
  </w:style>
  <w:style w:type="paragraph" w:styleId="35">
    <w:name w:val="toc 2"/>
    <w:basedOn w:val="1"/>
    <w:next w:val="1"/>
    <w:unhideWhenUsed/>
    <w:qFormat/>
    <w:uiPriority w:val="39"/>
    <w:pPr>
      <w:ind w:left="420" w:leftChars="200"/>
    </w:pPr>
  </w:style>
  <w:style w:type="paragraph" w:styleId="36">
    <w:name w:val="toc 9"/>
    <w:basedOn w:val="1"/>
    <w:next w:val="1"/>
    <w:unhideWhenUsed/>
    <w:qFormat/>
    <w:uiPriority w:val="39"/>
    <w:pPr>
      <w:ind w:left="3360" w:leftChars="1600"/>
    </w:pPr>
    <w:rPr>
      <w:rFonts w:ascii="Calibri" w:hAnsi="Calibri" w:eastAsia="宋体" w:cs="Times New Roman"/>
    </w:rPr>
  </w:style>
  <w:style w:type="paragraph" w:styleId="37">
    <w:name w:val="HTML Preformatted"/>
    <w:basedOn w:val="1"/>
    <w:link w:val="85"/>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pPr>
    <w:rPr>
      <w:rFonts w:ascii="宋体" w:hAnsi="宋体"/>
      <w:sz w:val="24"/>
      <w:szCs w:val="24"/>
    </w:rPr>
  </w:style>
  <w:style w:type="paragraph" w:styleId="3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39">
    <w:name w:val="Title"/>
    <w:basedOn w:val="1"/>
    <w:next w:val="1"/>
    <w:link w:val="86"/>
    <w:qFormat/>
    <w:uiPriority w:val="10"/>
    <w:pPr>
      <w:spacing w:before="240" w:after="60" w:line="360" w:lineRule="auto"/>
      <w:jc w:val="center"/>
      <w:outlineLvl w:val="0"/>
    </w:pPr>
    <w:rPr>
      <w:rFonts w:ascii="Cambria" w:hAnsi="Cambria" w:eastAsia="仿宋"/>
      <w:b/>
      <w:bCs/>
      <w:sz w:val="32"/>
      <w:szCs w:val="32"/>
    </w:rPr>
  </w:style>
  <w:style w:type="paragraph" w:styleId="40">
    <w:name w:val="annotation subject"/>
    <w:basedOn w:val="17"/>
    <w:next w:val="17"/>
    <w:link w:val="75"/>
    <w:unhideWhenUsed/>
    <w:qFormat/>
    <w:uiPriority w:val="0"/>
    <w:pPr>
      <w:spacing w:line="360" w:lineRule="auto"/>
    </w:pPr>
    <w:rPr>
      <w:rFonts w:ascii="Times New Roman" w:hAnsi="Times New Roman"/>
      <w:b/>
      <w:bCs/>
      <w:szCs w:val="24"/>
    </w:rPr>
  </w:style>
  <w:style w:type="paragraph" w:styleId="41">
    <w:name w:val="Body Text First Indent"/>
    <w:basedOn w:val="19"/>
    <w:link w:val="77"/>
    <w:qFormat/>
    <w:uiPriority w:val="0"/>
    <w:pPr>
      <w:spacing w:line="360" w:lineRule="auto"/>
      <w:ind w:firstLine="420" w:firstLineChars="100"/>
    </w:pPr>
    <w:rPr>
      <w:rFonts w:ascii="Times New Roman" w:hAnsi="Times New Roman" w:eastAsia="仿宋"/>
      <w:sz w:val="24"/>
      <w:szCs w:val="24"/>
    </w:rPr>
  </w:style>
  <w:style w:type="table" w:styleId="43">
    <w:name w:val="Table Grid"/>
    <w:basedOn w:val="4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qFormat/>
    <w:uiPriority w:val="0"/>
    <w:rPr>
      <w:b/>
      <w:bCs/>
    </w:rPr>
  </w:style>
  <w:style w:type="character" w:styleId="46">
    <w:name w:val="page number"/>
    <w:basedOn w:val="44"/>
    <w:qFormat/>
    <w:uiPriority w:val="0"/>
  </w:style>
  <w:style w:type="character" w:styleId="47">
    <w:name w:val="FollowedHyperlink"/>
    <w:basedOn w:val="44"/>
    <w:unhideWhenUsed/>
    <w:qFormat/>
    <w:uiPriority w:val="99"/>
    <w:rPr>
      <w:color w:val="800080" w:themeColor="followedHyperlink"/>
      <w:u w:val="single"/>
      <w14:textFill>
        <w14:solidFill>
          <w14:schemeClr w14:val="folHlink"/>
        </w14:solidFill>
      </w14:textFill>
    </w:rPr>
  </w:style>
  <w:style w:type="character" w:styleId="48">
    <w:name w:val="Emphasis"/>
    <w:basedOn w:val="44"/>
    <w:qFormat/>
    <w:uiPriority w:val="20"/>
  </w:style>
  <w:style w:type="character" w:styleId="49">
    <w:name w:val="line number"/>
    <w:basedOn w:val="44"/>
    <w:unhideWhenUsed/>
    <w:qFormat/>
    <w:uiPriority w:val="99"/>
  </w:style>
  <w:style w:type="character" w:styleId="50">
    <w:name w:val="HTML Definition"/>
    <w:unhideWhenUsed/>
    <w:qFormat/>
    <w:uiPriority w:val="99"/>
  </w:style>
  <w:style w:type="character" w:styleId="51">
    <w:name w:val="HTML Acronym"/>
    <w:unhideWhenUsed/>
    <w:qFormat/>
    <w:uiPriority w:val="99"/>
    <w:rPr>
      <w:sz w:val="24"/>
      <w:szCs w:val="20"/>
    </w:rPr>
  </w:style>
  <w:style w:type="character" w:styleId="52">
    <w:name w:val="HTML Variable"/>
    <w:unhideWhenUsed/>
    <w:qFormat/>
    <w:uiPriority w:val="99"/>
  </w:style>
  <w:style w:type="character" w:styleId="53">
    <w:name w:val="Hyperlink"/>
    <w:basedOn w:val="44"/>
    <w:unhideWhenUsed/>
    <w:qFormat/>
    <w:uiPriority w:val="99"/>
    <w:rPr>
      <w:color w:val="0000FF" w:themeColor="hyperlink"/>
      <w:u w:val="single"/>
      <w14:textFill>
        <w14:solidFill>
          <w14:schemeClr w14:val="hlink"/>
        </w14:solidFill>
      </w14:textFill>
    </w:rPr>
  </w:style>
  <w:style w:type="character" w:styleId="54">
    <w:name w:val="HTML Code"/>
    <w:unhideWhenUsed/>
    <w:qFormat/>
    <w:uiPriority w:val="99"/>
    <w:rPr>
      <w:rFonts w:ascii="Courier New" w:hAnsi="Courier New"/>
      <w:sz w:val="20"/>
    </w:rPr>
  </w:style>
  <w:style w:type="character" w:styleId="55">
    <w:name w:val="annotation reference"/>
    <w:basedOn w:val="44"/>
    <w:unhideWhenUsed/>
    <w:qFormat/>
    <w:uiPriority w:val="0"/>
    <w:rPr>
      <w:sz w:val="21"/>
      <w:szCs w:val="21"/>
    </w:rPr>
  </w:style>
  <w:style w:type="character" w:styleId="56">
    <w:name w:val="HTML Cite"/>
    <w:unhideWhenUsed/>
    <w:qFormat/>
    <w:uiPriority w:val="99"/>
  </w:style>
  <w:style w:type="character" w:styleId="57">
    <w:name w:val="footnote reference"/>
    <w:qFormat/>
    <w:uiPriority w:val="0"/>
    <w:rPr>
      <w:vertAlign w:val="superscript"/>
    </w:rPr>
  </w:style>
  <w:style w:type="character" w:styleId="58">
    <w:name w:val="HTML Keyboard"/>
    <w:unhideWhenUsed/>
    <w:qFormat/>
    <w:uiPriority w:val="99"/>
    <w:rPr>
      <w:rFonts w:hint="default" w:ascii="monospace" w:hAnsi="monospace" w:eastAsia="monospace" w:cs="monospace"/>
      <w:sz w:val="21"/>
      <w:szCs w:val="21"/>
    </w:rPr>
  </w:style>
  <w:style w:type="character" w:styleId="59">
    <w:name w:val="HTML Sample"/>
    <w:unhideWhenUsed/>
    <w:qFormat/>
    <w:uiPriority w:val="99"/>
    <w:rPr>
      <w:rFonts w:hint="default" w:ascii="monospace" w:hAnsi="monospace" w:eastAsia="monospace" w:cs="monospace"/>
      <w:sz w:val="21"/>
      <w:szCs w:val="21"/>
    </w:rPr>
  </w:style>
  <w:style w:type="paragraph" w:customStyle="1" w:styleId="60">
    <w:name w:val="正文文本首行缩进 21"/>
    <w:link w:val="160"/>
    <w:qFormat/>
    <w:uiPriority w:val="0"/>
    <w:pPr>
      <w:adjustRightInd w:val="0"/>
      <w:snapToGrid w:val="0"/>
      <w:spacing w:line="360" w:lineRule="auto"/>
      <w:ind w:firstLine="200" w:firstLineChars="200"/>
    </w:pPr>
    <w:rPr>
      <w:rFonts w:ascii="Times New Roman" w:hAnsi="Times New Roman" w:eastAsiaTheme="minorEastAsia" w:cstheme="minorBidi"/>
      <w:kern w:val="2"/>
      <w:sz w:val="24"/>
      <w:szCs w:val="24"/>
      <w:lang w:val="en-US" w:eastAsia="zh-CN" w:bidi="ar-SA"/>
    </w:rPr>
  </w:style>
  <w:style w:type="character" w:customStyle="1" w:styleId="61">
    <w:name w:val="页眉 字符"/>
    <w:basedOn w:val="44"/>
    <w:link w:val="29"/>
    <w:qFormat/>
    <w:uiPriority w:val="99"/>
    <w:rPr>
      <w:sz w:val="18"/>
      <w:szCs w:val="18"/>
    </w:rPr>
  </w:style>
  <w:style w:type="character" w:customStyle="1" w:styleId="62">
    <w:name w:val="页脚 字符"/>
    <w:basedOn w:val="44"/>
    <w:link w:val="28"/>
    <w:qFormat/>
    <w:uiPriority w:val="99"/>
    <w:rPr>
      <w:sz w:val="18"/>
      <w:szCs w:val="18"/>
    </w:rPr>
  </w:style>
  <w:style w:type="character" w:customStyle="1" w:styleId="63">
    <w:name w:val="文档结构图 字符"/>
    <w:basedOn w:val="44"/>
    <w:link w:val="16"/>
    <w:qFormat/>
    <w:uiPriority w:val="0"/>
    <w:rPr>
      <w:rFonts w:ascii="宋体" w:eastAsia="宋体"/>
      <w:sz w:val="18"/>
      <w:szCs w:val="18"/>
    </w:rPr>
  </w:style>
  <w:style w:type="character" w:customStyle="1" w:styleId="64">
    <w:name w:val="批注框文本 字符"/>
    <w:basedOn w:val="44"/>
    <w:link w:val="27"/>
    <w:qFormat/>
    <w:uiPriority w:val="99"/>
    <w:rPr>
      <w:sz w:val="18"/>
      <w:szCs w:val="18"/>
    </w:rPr>
  </w:style>
  <w:style w:type="character" w:customStyle="1" w:styleId="65">
    <w:name w:val="批注文字 字符"/>
    <w:basedOn w:val="44"/>
    <w:link w:val="17"/>
    <w:qFormat/>
    <w:uiPriority w:val="0"/>
  </w:style>
  <w:style w:type="character" w:customStyle="1" w:styleId="66">
    <w:name w:val="标题 1 字符"/>
    <w:basedOn w:val="44"/>
    <w:link w:val="4"/>
    <w:qFormat/>
    <w:uiPriority w:val="1"/>
    <w:rPr>
      <w:rFonts w:ascii="Times New Roman" w:hAnsi="Times New Roman" w:eastAsia="宋体" w:cs="Times New Roman"/>
      <w:b/>
      <w:bCs/>
      <w:kern w:val="44"/>
      <w:sz w:val="44"/>
      <w:szCs w:val="44"/>
    </w:rPr>
  </w:style>
  <w:style w:type="character" w:customStyle="1" w:styleId="67">
    <w:name w:val="标题 2 字符"/>
    <w:basedOn w:val="44"/>
    <w:qFormat/>
    <w:uiPriority w:val="9"/>
    <w:rPr>
      <w:rFonts w:asciiTheme="majorHAnsi" w:hAnsiTheme="majorHAnsi" w:eastAsiaTheme="majorEastAsia" w:cstheme="majorBidi"/>
      <w:b/>
      <w:bCs/>
      <w:sz w:val="32"/>
      <w:szCs w:val="32"/>
    </w:rPr>
  </w:style>
  <w:style w:type="character" w:customStyle="1" w:styleId="68">
    <w:name w:val="标题 3 字符"/>
    <w:basedOn w:val="44"/>
    <w:link w:val="6"/>
    <w:qFormat/>
    <w:uiPriority w:val="1"/>
    <w:rPr>
      <w:rFonts w:ascii="Times New Roman" w:hAnsi="Times New Roman" w:eastAsia="宋体" w:cs="Times New Roman"/>
      <w:b/>
      <w:bCs/>
      <w:sz w:val="32"/>
      <w:szCs w:val="32"/>
    </w:rPr>
  </w:style>
  <w:style w:type="character" w:customStyle="1" w:styleId="69">
    <w:name w:val="标题 4 字符"/>
    <w:basedOn w:val="44"/>
    <w:qFormat/>
    <w:uiPriority w:val="9"/>
    <w:rPr>
      <w:rFonts w:asciiTheme="majorHAnsi" w:hAnsiTheme="majorHAnsi" w:eastAsiaTheme="majorEastAsia" w:cstheme="majorBidi"/>
      <w:b/>
      <w:bCs/>
      <w:sz w:val="28"/>
      <w:szCs w:val="28"/>
    </w:rPr>
  </w:style>
  <w:style w:type="character" w:customStyle="1" w:styleId="70">
    <w:name w:val="标题 5 字符"/>
    <w:basedOn w:val="44"/>
    <w:link w:val="8"/>
    <w:qFormat/>
    <w:uiPriority w:val="1"/>
    <w:rPr>
      <w:rFonts w:ascii="Times New Roman" w:hAnsi="Times New Roman" w:eastAsia="宋体" w:cs="Times New Roman"/>
      <w:b/>
      <w:sz w:val="28"/>
    </w:rPr>
  </w:style>
  <w:style w:type="character" w:customStyle="1" w:styleId="71">
    <w:name w:val="标题 6 字符"/>
    <w:basedOn w:val="44"/>
    <w:link w:val="9"/>
    <w:qFormat/>
    <w:uiPriority w:val="9"/>
    <w:rPr>
      <w:rFonts w:ascii="Cambria" w:hAnsi="Cambria" w:eastAsia="仿宋_GB2312" w:cs="Times New Roman"/>
      <w:b/>
      <w:bCs/>
      <w:sz w:val="24"/>
      <w:szCs w:val="24"/>
    </w:rPr>
  </w:style>
  <w:style w:type="character" w:customStyle="1" w:styleId="72">
    <w:name w:val="标题 7 字符"/>
    <w:basedOn w:val="44"/>
    <w:link w:val="10"/>
    <w:qFormat/>
    <w:uiPriority w:val="9"/>
    <w:rPr>
      <w:rFonts w:ascii="仿宋_GB2312" w:hAnsi="Times New Roman" w:eastAsia="仿宋_GB2312" w:cs="Times New Roman"/>
      <w:b/>
      <w:sz w:val="24"/>
      <w:szCs w:val="21"/>
    </w:rPr>
  </w:style>
  <w:style w:type="character" w:customStyle="1" w:styleId="73">
    <w:name w:val="标题 8 字符"/>
    <w:basedOn w:val="44"/>
    <w:link w:val="11"/>
    <w:qFormat/>
    <w:uiPriority w:val="9"/>
    <w:rPr>
      <w:rFonts w:ascii="Arial" w:hAnsi="Arial" w:eastAsia="黑体" w:cs="Times New Roman"/>
      <w:sz w:val="24"/>
      <w:szCs w:val="21"/>
    </w:rPr>
  </w:style>
  <w:style w:type="character" w:customStyle="1" w:styleId="74">
    <w:name w:val="标题 9 字符"/>
    <w:basedOn w:val="44"/>
    <w:link w:val="12"/>
    <w:qFormat/>
    <w:uiPriority w:val="9"/>
    <w:rPr>
      <w:rFonts w:ascii="Arial" w:hAnsi="Arial" w:eastAsia="黑体" w:cs="Times New Roman"/>
      <w:sz w:val="24"/>
      <w:szCs w:val="21"/>
    </w:rPr>
  </w:style>
  <w:style w:type="character" w:customStyle="1" w:styleId="75">
    <w:name w:val="批注主题 字符"/>
    <w:basedOn w:val="65"/>
    <w:link w:val="40"/>
    <w:qFormat/>
    <w:uiPriority w:val="0"/>
    <w:rPr>
      <w:rFonts w:ascii="Times New Roman" w:hAnsi="Times New Roman"/>
      <w:b/>
      <w:bCs/>
      <w:szCs w:val="24"/>
    </w:rPr>
  </w:style>
  <w:style w:type="character" w:customStyle="1" w:styleId="76">
    <w:name w:val="正文文本 字符"/>
    <w:basedOn w:val="44"/>
    <w:link w:val="19"/>
    <w:qFormat/>
    <w:uiPriority w:val="1"/>
  </w:style>
  <w:style w:type="character" w:customStyle="1" w:styleId="77">
    <w:name w:val="正文文本首行缩进 字符"/>
    <w:basedOn w:val="76"/>
    <w:link w:val="41"/>
    <w:qFormat/>
    <w:uiPriority w:val="0"/>
    <w:rPr>
      <w:rFonts w:ascii="Times New Roman" w:hAnsi="Times New Roman" w:eastAsia="仿宋"/>
      <w:sz w:val="24"/>
      <w:szCs w:val="24"/>
    </w:rPr>
  </w:style>
  <w:style w:type="character" w:customStyle="1" w:styleId="78">
    <w:name w:val="正文文本缩进 字符"/>
    <w:basedOn w:val="44"/>
    <w:link w:val="3"/>
    <w:qFormat/>
    <w:uiPriority w:val="99"/>
  </w:style>
  <w:style w:type="character" w:customStyle="1" w:styleId="79">
    <w:name w:val="纯文本 字符"/>
    <w:basedOn w:val="44"/>
    <w:link w:val="23"/>
    <w:qFormat/>
    <w:uiPriority w:val="0"/>
    <w:rPr>
      <w:rFonts w:ascii="宋体" w:hAnsi="Courier New" w:cs="Courier New"/>
      <w:szCs w:val="21"/>
    </w:rPr>
  </w:style>
  <w:style w:type="character" w:customStyle="1" w:styleId="80">
    <w:name w:val="日期 字符"/>
    <w:basedOn w:val="44"/>
    <w:link w:val="25"/>
    <w:qFormat/>
    <w:uiPriority w:val="99"/>
    <w:rPr>
      <w:sz w:val="28"/>
      <w:szCs w:val="24"/>
    </w:rPr>
  </w:style>
  <w:style w:type="character" w:customStyle="1" w:styleId="81">
    <w:name w:val="正文文本缩进 2 字符"/>
    <w:basedOn w:val="44"/>
    <w:link w:val="26"/>
    <w:qFormat/>
    <w:uiPriority w:val="0"/>
    <w:rPr>
      <w:sz w:val="28"/>
    </w:rPr>
  </w:style>
  <w:style w:type="character" w:customStyle="1" w:styleId="82">
    <w:name w:val="正文文本首行缩进 2 字符"/>
    <w:basedOn w:val="78"/>
    <w:link w:val="2"/>
    <w:qFormat/>
    <w:uiPriority w:val="0"/>
    <w:rPr>
      <w:rFonts w:ascii="Times New Roman" w:hAnsi="Times New Roman"/>
      <w:sz w:val="24"/>
      <w:szCs w:val="24"/>
    </w:rPr>
  </w:style>
  <w:style w:type="character" w:customStyle="1" w:styleId="83">
    <w:name w:val="副标题 字符"/>
    <w:basedOn w:val="44"/>
    <w:link w:val="32"/>
    <w:qFormat/>
    <w:uiPriority w:val="11"/>
    <w:rPr>
      <w:rFonts w:ascii="Cambria" w:hAnsi="Cambria"/>
      <w:b/>
      <w:bCs/>
      <w:kern w:val="28"/>
      <w:sz w:val="32"/>
      <w:szCs w:val="32"/>
    </w:rPr>
  </w:style>
  <w:style w:type="character" w:customStyle="1" w:styleId="84">
    <w:name w:val="脚注文本 字符"/>
    <w:basedOn w:val="44"/>
    <w:link w:val="33"/>
    <w:qFormat/>
    <w:uiPriority w:val="99"/>
    <w:rPr>
      <w:sz w:val="18"/>
      <w:szCs w:val="18"/>
    </w:rPr>
  </w:style>
  <w:style w:type="character" w:customStyle="1" w:styleId="85">
    <w:name w:val="HTML 预设格式 字符"/>
    <w:basedOn w:val="44"/>
    <w:link w:val="37"/>
    <w:qFormat/>
    <w:uiPriority w:val="99"/>
    <w:rPr>
      <w:rFonts w:ascii="宋体" w:hAnsi="宋体"/>
      <w:sz w:val="24"/>
      <w:szCs w:val="24"/>
    </w:rPr>
  </w:style>
  <w:style w:type="character" w:customStyle="1" w:styleId="86">
    <w:name w:val="标题 字符"/>
    <w:basedOn w:val="44"/>
    <w:link w:val="39"/>
    <w:qFormat/>
    <w:uiPriority w:val="10"/>
    <w:rPr>
      <w:rFonts w:ascii="Cambria" w:hAnsi="Cambria" w:eastAsia="仿宋"/>
      <w:b/>
      <w:bCs/>
      <w:sz w:val="32"/>
      <w:szCs w:val="32"/>
    </w:rPr>
  </w:style>
  <w:style w:type="character" w:customStyle="1" w:styleId="87">
    <w:name w:val="标题 1 Char"/>
    <w:basedOn w:val="44"/>
    <w:qFormat/>
    <w:uiPriority w:val="0"/>
    <w:rPr>
      <w:b/>
      <w:bCs/>
      <w:kern w:val="44"/>
      <w:sz w:val="44"/>
      <w:szCs w:val="44"/>
    </w:rPr>
  </w:style>
  <w:style w:type="character" w:customStyle="1" w:styleId="88">
    <w:name w:val="标题 2 Char"/>
    <w:basedOn w:val="44"/>
    <w:qFormat/>
    <w:uiPriority w:val="9"/>
    <w:rPr>
      <w:rFonts w:asciiTheme="majorHAnsi" w:hAnsiTheme="majorHAnsi" w:eastAsiaTheme="majorEastAsia" w:cstheme="majorBidi"/>
      <w:b/>
      <w:bCs/>
      <w:sz w:val="32"/>
      <w:szCs w:val="32"/>
    </w:rPr>
  </w:style>
  <w:style w:type="character" w:customStyle="1" w:styleId="89">
    <w:name w:val="标题 3 Char"/>
    <w:basedOn w:val="44"/>
    <w:qFormat/>
    <w:uiPriority w:val="9"/>
    <w:rPr>
      <w:b/>
      <w:bCs/>
      <w:sz w:val="32"/>
      <w:szCs w:val="32"/>
    </w:rPr>
  </w:style>
  <w:style w:type="character" w:customStyle="1" w:styleId="90">
    <w:name w:val="标题 4 Char"/>
    <w:basedOn w:val="44"/>
    <w:qFormat/>
    <w:uiPriority w:val="9"/>
    <w:rPr>
      <w:rFonts w:asciiTheme="majorHAnsi" w:hAnsiTheme="majorHAnsi" w:eastAsiaTheme="majorEastAsia" w:cstheme="majorBidi"/>
      <w:b/>
      <w:bCs/>
      <w:sz w:val="28"/>
      <w:szCs w:val="28"/>
    </w:rPr>
  </w:style>
  <w:style w:type="character" w:customStyle="1" w:styleId="91">
    <w:name w:val="标题 5 Char"/>
    <w:basedOn w:val="44"/>
    <w:qFormat/>
    <w:uiPriority w:val="0"/>
    <w:rPr>
      <w:b/>
      <w:bCs/>
      <w:sz w:val="28"/>
      <w:szCs w:val="28"/>
    </w:rPr>
  </w:style>
  <w:style w:type="character" w:customStyle="1" w:styleId="92">
    <w:name w:val="标题 6 Char"/>
    <w:basedOn w:val="44"/>
    <w:qFormat/>
    <w:uiPriority w:val="0"/>
    <w:rPr>
      <w:rFonts w:asciiTheme="majorHAnsi" w:hAnsiTheme="majorHAnsi" w:eastAsiaTheme="majorEastAsia" w:cstheme="majorBidi"/>
      <w:b/>
      <w:bCs/>
      <w:sz w:val="24"/>
      <w:szCs w:val="24"/>
    </w:rPr>
  </w:style>
  <w:style w:type="character" w:customStyle="1" w:styleId="93">
    <w:name w:val="标题 7 Char"/>
    <w:basedOn w:val="44"/>
    <w:qFormat/>
    <w:uiPriority w:val="0"/>
    <w:rPr>
      <w:b/>
      <w:bCs/>
      <w:sz w:val="24"/>
      <w:szCs w:val="24"/>
    </w:rPr>
  </w:style>
  <w:style w:type="character" w:customStyle="1" w:styleId="94">
    <w:name w:val="标题 8 Char"/>
    <w:basedOn w:val="44"/>
    <w:qFormat/>
    <w:uiPriority w:val="0"/>
    <w:rPr>
      <w:rFonts w:asciiTheme="majorHAnsi" w:hAnsiTheme="majorHAnsi" w:eastAsiaTheme="majorEastAsia" w:cstheme="majorBidi"/>
      <w:sz w:val="24"/>
      <w:szCs w:val="24"/>
    </w:rPr>
  </w:style>
  <w:style w:type="character" w:customStyle="1" w:styleId="95">
    <w:name w:val="标题 9 Char"/>
    <w:basedOn w:val="44"/>
    <w:qFormat/>
    <w:uiPriority w:val="0"/>
    <w:rPr>
      <w:rFonts w:asciiTheme="majorHAnsi" w:hAnsiTheme="majorHAnsi" w:eastAsiaTheme="majorEastAsia" w:cstheme="majorBidi"/>
      <w:szCs w:val="21"/>
    </w:rPr>
  </w:style>
  <w:style w:type="character" w:customStyle="1" w:styleId="96">
    <w:name w:val="标题 2 字符1"/>
    <w:link w:val="5"/>
    <w:qFormat/>
    <w:locked/>
    <w:uiPriority w:val="0"/>
    <w:rPr>
      <w:rFonts w:ascii="Times New Roman" w:hAnsi="Times New Roman" w:eastAsia="黑体" w:cs="Times New Roman"/>
      <w:b/>
      <w:bCs/>
      <w:kern w:val="0"/>
      <w:sz w:val="32"/>
      <w:szCs w:val="32"/>
    </w:rPr>
  </w:style>
  <w:style w:type="character" w:customStyle="1" w:styleId="97">
    <w:name w:val="标题 4 字符3"/>
    <w:link w:val="7"/>
    <w:qFormat/>
    <w:uiPriority w:val="9"/>
    <w:rPr>
      <w:rFonts w:ascii="Cambria" w:hAnsi="Cambria" w:eastAsia="宋体" w:cs="Times New Roman"/>
      <w:b/>
      <w:bCs/>
      <w:sz w:val="28"/>
      <w:szCs w:val="28"/>
    </w:rPr>
  </w:style>
  <w:style w:type="character" w:customStyle="1" w:styleId="98">
    <w:name w:val="icon30-renren-b1"/>
    <w:qFormat/>
    <w:uiPriority w:val="0"/>
    <w:rPr>
      <w:sz w:val="24"/>
      <w:szCs w:val="20"/>
    </w:rPr>
  </w:style>
  <w:style w:type="character" w:customStyle="1" w:styleId="99">
    <w:name w:val="bds_more8"/>
    <w:qFormat/>
    <w:uiPriority w:val="0"/>
    <w:rPr>
      <w:rFonts w:hint="eastAsia" w:ascii="宋体" w:hAnsi="宋体" w:eastAsia="宋体" w:cs="宋体"/>
      <w:sz w:val="24"/>
      <w:szCs w:val="20"/>
    </w:rPr>
  </w:style>
  <w:style w:type="character" w:customStyle="1" w:styleId="100">
    <w:name w:val="title-name-bg"/>
    <w:qFormat/>
    <w:uiPriority w:val="0"/>
    <w:rPr>
      <w:sz w:val="24"/>
      <w:szCs w:val="20"/>
    </w:rPr>
  </w:style>
  <w:style w:type="character" w:customStyle="1" w:styleId="101">
    <w:name w:val="btn-load-bf3"/>
    <w:qFormat/>
    <w:uiPriority w:val="0"/>
    <w:rPr>
      <w:sz w:val="24"/>
      <w:szCs w:val="20"/>
      <w:bdr w:val="single" w:color="CCD4D9" w:sz="12" w:space="0"/>
    </w:rPr>
  </w:style>
  <w:style w:type="character" w:customStyle="1" w:styleId="102">
    <w:name w:val="missing_data"/>
    <w:qFormat/>
    <w:uiPriority w:val="0"/>
    <w:rPr>
      <w:color w:val="FF0000"/>
    </w:rPr>
  </w:style>
  <w:style w:type="character" w:customStyle="1" w:styleId="103">
    <w:name w:val="font151"/>
    <w:qFormat/>
    <w:uiPriority w:val="0"/>
    <w:rPr>
      <w:rFonts w:hint="eastAsia" w:ascii="宋体" w:hAnsi="宋体" w:eastAsia="宋体" w:cs="宋体"/>
      <w:b/>
      <w:color w:val="000000"/>
      <w:sz w:val="21"/>
      <w:szCs w:val="21"/>
      <w:u w:val="none"/>
    </w:rPr>
  </w:style>
  <w:style w:type="character" w:customStyle="1" w:styleId="104">
    <w:name w:val="font141"/>
    <w:qFormat/>
    <w:uiPriority w:val="0"/>
    <w:rPr>
      <w:rFonts w:hint="eastAsia" w:ascii="宋体" w:hAnsi="宋体" w:eastAsia="宋体" w:cs="宋体"/>
      <w:color w:val="000000"/>
      <w:sz w:val="20"/>
      <w:szCs w:val="20"/>
      <w:u w:val="none"/>
    </w:rPr>
  </w:style>
  <w:style w:type="character" w:customStyle="1" w:styleId="105">
    <w:name w:val="未处理的提及1"/>
    <w:unhideWhenUsed/>
    <w:qFormat/>
    <w:uiPriority w:val="99"/>
    <w:rPr>
      <w:color w:val="605E5C"/>
      <w:shd w:val="clear" w:color="auto" w:fill="E1DFDD"/>
    </w:rPr>
  </w:style>
  <w:style w:type="character" w:customStyle="1" w:styleId="106">
    <w:name w:val="【正文】 Char"/>
    <w:link w:val="107"/>
    <w:qFormat/>
    <w:locked/>
    <w:uiPriority w:val="0"/>
    <w:rPr>
      <w:rFonts w:ascii="Times New Roman" w:hAnsi="Times New Roman"/>
      <w:sz w:val="24"/>
      <w:szCs w:val="24"/>
    </w:rPr>
  </w:style>
  <w:style w:type="paragraph" w:customStyle="1" w:styleId="107">
    <w:name w:val="【正文】"/>
    <w:basedOn w:val="1"/>
    <w:link w:val="106"/>
    <w:qFormat/>
    <w:uiPriority w:val="0"/>
    <w:pPr>
      <w:spacing w:line="440" w:lineRule="exact"/>
      <w:ind w:firstLine="544" w:firstLineChars="200"/>
    </w:pPr>
    <w:rPr>
      <w:rFonts w:ascii="Times New Roman" w:hAnsi="Times New Roman"/>
      <w:sz w:val="24"/>
      <w:szCs w:val="24"/>
    </w:rPr>
  </w:style>
  <w:style w:type="character" w:customStyle="1" w:styleId="108">
    <w:name w:val="论文作者样式 Char"/>
    <w:link w:val="109"/>
    <w:qFormat/>
    <w:locked/>
    <w:uiPriority w:val="0"/>
    <w:rPr>
      <w:rFonts w:ascii="楷体_GB2312" w:hAnsi="楷体_GB2312" w:eastAsia="楷体_GB2312"/>
      <w:sz w:val="24"/>
      <w:szCs w:val="24"/>
      <w:lang w:eastAsia="en-US"/>
    </w:rPr>
  </w:style>
  <w:style w:type="paragraph" w:customStyle="1" w:styleId="109">
    <w:name w:val="论文作者样式"/>
    <w:basedOn w:val="1"/>
    <w:link w:val="108"/>
    <w:qFormat/>
    <w:uiPriority w:val="0"/>
    <w:pPr>
      <w:widowControl/>
      <w:spacing w:before="260" w:after="260" w:line="415" w:lineRule="auto"/>
      <w:jc w:val="center"/>
    </w:pPr>
    <w:rPr>
      <w:rFonts w:ascii="楷体_GB2312" w:hAnsi="楷体_GB2312" w:eastAsia="楷体_GB2312"/>
      <w:sz w:val="24"/>
      <w:szCs w:val="24"/>
      <w:lang w:eastAsia="en-US"/>
    </w:rPr>
  </w:style>
  <w:style w:type="character" w:customStyle="1" w:styleId="110">
    <w:name w:val="font121"/>
    <w:qFormat/>
    <w:uiPriority w:val="0"/>
    <w:rPr>
      <w:rFonts w:hint="eastAsia" w:ascii="宋体" w:hAnsi="宋体" w:eastAsia="宋体" w:cs="宋体"/>
      <w:color w:val="000000"/>
      <w:sz w:val="20"/>
      <w:szCs w:val="20"/>
      <w:u w:val="none"/>
    </w:rPr>
  </w:style>
  <w:style w:type="character" w:customStyle="1" w:styleId="111">
    <w:name w:val="正文首行缩进 Char"/>
    <w:basedOn w:val="76"/>
    <w:qFormat/>
    <w:uiPriority w:val="0"/>
  </w:style>
  <w:style w:type="character" w:customStyle="1" w:styleId="112">
    <w:name w:val="正文文本 Char1"/>
    <w:qFormat/>
    <w:uiPriority w:val="99"/>
    <w:rPr>
      <w:rFonts w:ascii="Times New Roman" w:hAnsi="Times New Roman" w:eastAsia="仿宋"/>
      <w:kern w:val="2"/>
      <w:sz w:val="24"/>
      <w:szCs w:val="21"/>
    </w:rPr>
  </w:style>
  <w:style w:type="character" w:customStyle="1" w:styleId="113">
    <w:name w:val="纯文本 Char"/>
    <w:basedOn w:val="44"/>
    <w:qFormat/>
    <w:uiPriority w:val="99"/>
    <w:rPr>
      <w:rFonts w:ascii="宋体" w:hAnsi="Courier New" w:eastAsia="宋体" w:cs="Courier New"/>
      <w:szCs w:val="21"/>
    </w:rPr>
  </w:style>
  <w:style w:type="character" w:customStyle="1" w:styleId="114">
    <w:name w:val="icon30-renren-b2"/>
    <w:qFormat/>
    <w:uiPriority w:val="0"/>
    <w:rPr>
      <w:sz w:val="24"/>
      <w:szCs w:val="20"/>
    </w:rPr>
  </w:style>
  <w:style w:type="character" w:customStyle="1" w:styleId="115">
    <w:name w:val="批注文字 Char1"/>
    <w:qFormat/>
    <w:uiPriority w:val="0"/>
    <w:rPr>
      <w:rFonts w:ascii="Times New Roman" w:hAnsi="Times New Roman" w:eastAsia="宋体" w:cs="Times New Roman"/>
    </w:rPr>
  </w:style>
  <w:style w:type="character" w:customStyle="1" w:styleId="116">
    <w:name w:val="icon-renren-click-b2"/>
    <w:qFormat/>
    <w:uiPriority w:val="0"/>
    <w:rPr>
      <w:sz w:val="24"/>
      <w:szCs w:val="20"/>
    </w:rPr>
  </w:style>
  <w:style w:type="character" w:customStyle="1" w:styleId="117">
    <w:name w:val="icon-sina-b"/>
    <w:qFormat/>
    <w:uiPriority w:val="0"/>
    <w:rPr>
      <w:sz w:val="24"/>
      <w:szCs w:val="20"/>
    </w:rPr>
  </w:style>
  <w:style w:type="character" w:customStyle="1" w:styleId="118">
    <w:name w:val="hover13"/>
    <w:qFormat/>
    <w:uiPriority w:val="0"/>
    <w:rPr>
      <w:sz w:val="24"/>
      <w:szCs w:val="20"/>
      <w:u w:val="single"/>
    </w:rPr>
  </w:style>
  <w:style w:type="character" w:customStyle="1" w:styleId="119">
    <w:name w:val="icon-renren-cancel-b"/>
    <w:qFormat/>
    <w:uiPriority w:val="0"/>
    <w:rPr>
      <w:sz w:val="24"/>
      <w:szCs w:val="20"/>
    </w:rPr>
  </w:style>
  <w:style w:type="character" w:customStyle="1" w:styleId="120">
    <w:name w:val="批注框文本 Char"/>
    <w:qFormat/>
    <w:uiPriority w:val="99"/>
    <w:rPr>
      <w:rFonts w:ascii="Times New Roman" w:hAnsi="Times New Roman"/>
      <w:kern w:val="2"/>
      <w:sz w:val="18"/>
      <w:szCs w:val="18"/>
    </w:rPr>
  </w:style>
  <w:style w:type="character" w:customStyle="1" w:styleId="121">
    <w:name w:val="icon30-sina-b1"/>
    <w:qFormat/>
    <w:uiPriority w:val="0"/>
    <w:rPr>
      <w:sz w:val="24"/>
      <w:szCs w:val="20"/>
    </w:rPr>
  </w:style>
  <w:style w:type="character" w:customStyle="1" w:styleId="122">
    <w:name w:val="批注文字 Char"/>
    <w:qFormat/>
    <w:uiPriority w:val="0"/>
    <w:rPr>
      <w:rFonts w:ascii="Times New Roman" w:hAnsi="Times New Roman"/>
    </w:rPr>
  </w:style>
  <w:style w:type="character" w:customStyle="1" w:styleId="123">
    <w:name w:val="icon-sina-click-b2"/>
    <w:qFormat/>
    <w:uiPriority w:val="0"/>
    <w:rPr>
      <w:sz w:val="24"/>
      <w:szCs w:val="20"/>
    </w:rPr>
  </w:style>
  <w:style w:type="character" w:customStyle="1" w:styleId="124">
    <w:name w:val="页眉 字符1"/>
    <w:qFormat/>
    <w:uiPriority w:val="99"/>
    <w:rPr>
      <w:rFonts w:ascii="Calibri" w:hAnsi="Calibri"/>
      <w:kern w:val="2"/>
      <w:sz w:val="18"/>
      <w:szCs w:val="18"/>
    </w:rPr>
  </w:style>
  <w:style w:type="character" w:customStyle="1" w:styleId="125">
    <w:name w:val="icon-qq-b1"/>
    <w:qFormat/>
    <w:uiPriority w:val="0"/>
    <w:rPr>
      <w:sz w:val="24"/>
      <w:szCs w:val="20"/>
    </w:rPr>
  </w:style>
  <w:style w:type="character" w:customStyle="1" w:styleId="126">
    <w:name w:val="批注框文本 字符2"/>
    <w:qFormat/>
    <w:uiPriority w:val="99"/>
    <w:rPr>
      <w:rFonts w:ascii="Times New Roman" w:hAnsi="Times New Roman" w:eastAsia="宋体" w:cs="Times New Roman"/>
      <w:sz w:val="18"/>
      <w:szCs w:val="18"/>
    </w:rPr>
  </w:style>
  <w:style w:type="character" w:customStyle="1" w:styleId="127">
    <w:name w:val="icon-qzone-b"/>
    <w:qFormat/>
    <w:uiPriority w:val="0"/>
    <w:rPr>
      <w:sz w:val="24"/>
      <w:szCs w:val="20"/>
    </w:rPr>
  </w:style>
  <w:style w:type="character" w:customStyle="1" w:styleId="128">
    <w:name w:val="HTML 预设格式 Char"/>
    <w:basedOn w:val="44"/>
    <w:qFormat/>
    <w:uiPriority w:val="99"/>
    <w:rPr>
      <w:rFonts w:ascii="Courier New" w:hAnsi="Courier New" w:cs="Courier New"/>
      <w:sz w:val="20"/>
      <w:szCs w:val="20"/>
    </w:rPr>
  </w:style>
  <w:style w:type="paragraph" w:customStyle="1" w:styleId="129">
    <w:name w:val="_Style 72"/>
    <w:unhideWhenUsed/>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customStyle="1" w:styleId="130">
    <w:name w:val="icon-qq-b"/>
    <w:qFormat/>
    <w:uiPriority w:val="0"/>
    <w:rPr>
      <w:sz w:val="24"/>
      <w:szCs w:val="20"/>
    </w:rPr>
  </w:style>
  <w:style w:type="character" w:customStyle="1" w:styleId="131">
    <w:name w:val="论文二级标题样式"/>
    <w:qFormat/>
    <w:uiPriority w:val="0"/>
    <w:rPr>
      <w:rFonts w:ascii="黑体" w:hAnsi="黑体" w:eastAsia="黑体" w:cs="Times New Roman"/>
      <w:kern w:val="0"/>
      <w:sz w:val="21"/>
    </w:rPr>
  </w:style>
  <w:style w:type="character" w:customStyle="1" w:styleId="132">
    <w:name w:val="题注 字符"/>
    <w:link w:val="15"/>
    <w:qFormat/>
    <w:uiPriority w:val="0"/>
    <w:rPr>
      <w:rFonts w:ascii="Arial" w:hAnsi="Arial" w:eastAsia="黑体"/>
    </w:rPr>
  </w:style>
  <w:style w:type="character" w:customStyle="1" w:styleId="133">
    <w:name w:val="jx表头 Char"/>
    <w:link w:val="134"/>
    <w:qFormat/>
    <w:uiPriority w:val="0"/>
    <w:rPr>
      <w:rFonts w:eastAsia="黑体"/>
      <w:b/>
      <w:sz w:val="24"/>
    </w:rPr>
  </w:style>
  <w:style w:type="paragraph" w:customStyle="1" w:styleId="134">
    <w:name w:val="jx表头"/>
    <w:basedOn w:val="135"/>
    <w:next w:val="135"/>
    <w:link w:val="133"/>
    <w:qFormat/>
    <w:uiPriority w:val="0"/>
    <w:pPr>
      <w:spacing w:before="120" w:after="120" w:line="300" w:lineRule="atLeast"/>
    </w:pPr>
    <w:rPr>
      <w:rFonts w:eastAsia="黑体" w:asciiTheme="minorHAnsi" w:hAnsiTheme="minorHAnsi" w:cstheme="minorBidi"/>
      <w:b/>
      <w:sz w:val="24"/>
      <w:szCs w:val="22"/>
    </w:rPr>
  </w:style>
  <w:style w:type="paragraph" w:customStyle="1" w:styleId="135">
    <w:name w:val="jx表格内容"/>
    <w:basedOn w:val="1"/>
    <w:next w:val="1"/>
    <w:qFormat/>
    <w:uiPriority w:val="0"/>
    <w:pPr>
      <w:jc w:val="center"/>
    </w:pPr>
    <w:rPr>
      <w:rFonts w:ascii="Times New Roman" w:hAnsi="Times New Roman" w:eastAsia="宋体" w:cs="Times New Roman"/>
      <w:sz w:val="18"/>
      <w:szCs w:val="21"/>
    </w:rPr>
  </w:style>
  <w:style w:type="character" w:customStyle="1" w:styleId="136">
    <w:name w:val="showtag"/>
    <w:qFormat/>
    <w:uiPriority w:val="0"/>
  </w:style>
  <w:style w:type="character" w:customStyle="1" w:styleId="137">
    <w:name w:val="标题 1 字符1"/>
    <w:qFormat/>
    <w:uiPriority w:val="9"/>
    <w:rPr>
      <w:rFonts w:ascii="Calibri" w:hAnsi="Calibri"/>
      <w:b/>
      <w:bCs/>
      <w:kern w:val="44"/>
      <w:sz w:val="32"/>
      <w:szCs w:val="44"/>
    </w:rPr>
  </w:style>
  <w:style w:type="character" w:customStyle="1" w:styleId="138">
    <w:name w:val="正文文本缩进 字符1"/>
    <w:qFormat/>
    <w:uiPriority w:val="99"/>
    <w:rPr>
      <w:rFonts w:ascii="Calibri" w:hAnsi="Calibri"/>
      <w:kern w:val="2"/>
      <w:sz w:val="24"/>
    </w:rPr>
  </w:style>
  <w:style w:type="character" w:customStyle="1" w:styleId="139">
    <w:name w:val="front"/>
    <w:qFormat/>
    <w:uiPriority w:val="0"/>
    <w:rPr>
      <w:sz w:val="24"/>
      <w:szCs w:val="20"/>
      <w:shd w:val="clear" w:color="auto" w:fill="930000"/>
    </w:rPr>
  </w:style>
  <w:style w:type="character" w:customStyle="1" w:styleId="140">
    <w:name w:val="公式 Char"/>
    <w:qFormat/>
    <w:uiPriority w:val="0"/>
  </w:style>
  <w:style w:type="character" w:customStyle="1" w:styleId="141">
    <w:name w:val="cur"/>
    <w:basedOn w:val="44"/>
    <w:qFormat/>
    <w:uiPriority w:val="0"/>
  </w:style>
  <w:style w:type="character" w:customStyle="1" w:styleId="142">
    <w:name w:val="font241"/>
    <w:qFormat/>
    <w:uiPriority w:val="0"/>
    <w:rPr>
      <w:rFonts w:hint="default" w:ascii="Times New Roman" w:hAnsi="Times New Roman" w:cs="Times New Roman"/>
      <w:color w:val="000000"/>
      <w:sz w:val="20"/>
      <w:szCs w:val="20"/>
      <w:u w:val="none"/>
    </w:rPr>
  </w:style>
  <w:style w:type="character" w:customStyle="1" w:styleId="143">
    <w:name w:val="页眉 Char"/>
    <w:qFormat/>
    <w:uiPriority w:val="99"/>
    <w:rPr>
      <w:rFonts w:ascii="Times New Roman" w:hAnsi="Times New Roman" w:eastAsia="宋体" w:cs="Times New Roman"/>
      <w:sz w:val="18"/>
      <w:szCs w:val="18"/>
    </w:rPr>
  </w:style>
  <w:style w:type="character" w:customStyle="1" w:styleId="144">
    <w:name w:val="bds_more6"/>
    <w:qFormat/>
    <w:uiPriority w:val="0"/>
    <w:rPr>
      <w:sz w:val="24"/>
      <w:szCs w:val="20"/>
    </w:rPr>
  </w:style>
  <w:style w:type="character" w:customStyle="1" w:styleId="145">
    <w:name w:val="hover14"/>
    <w:qFormat/>
    <w:uiPriority w:val="0"/>
    <w:rPr>
      <w:sz w:val="24"/>
      <w:szCs w:val="20"/>
      <w:u w:val="single"/>
    </w:rPr>
  </w:style>
  <w:style w:type="character" w:customStyle="1" w:styleId="146">
    <w:name w:val="current"/>
    <w:qFormat/>
    <w:uiPriority w:val="0"/>
    <w:rPr>
      <w:b/>
      <w:color w:val="000000"/>
      <w:bdr w:val="single" w:color="FFFFFF" w:sz="6" w:space="0"/>
      <w:shd w:val="clear" w:color="auto" w:fill="FFFFFF"/>
    </w:rPr>
  </w:style>
  <w:style w:type="character" w:customStyle="1" w:styleId="147">
    <w:name w:val="sort"/>
    <w:qFormat/>
    <w:uiPriority w:val="0"/>
    <w:rPr>
      <w:color w:val="FFFFFF"/>
      <w:sz w:val="24"/>
      <w:szCs w:val="20"/>
      <w:bdr w:val="single" w:color="auto" w:sz="24" w:space="0"/>
    </w:rPr>
  </w:style>
  <w:style w:type="character" w:customStyle="1" w:styleId="148">
    <w:name w:val="user-floor-gw2"/>
    <w:qFormat/>
    <w:uiPriority w:val="0"/>
    <w:rPr>
      <w:sz w:val="22"/>
      <w:szCs w:val="22"/>
    </w:rPr>
  </w:style>
  <w:style w:type="character" w:customStyle="1" w:styleId="149">
    <w:name w:val="标题 7 字符1"/>
    <w:qFormat/>
    <w:uiPriority w:val="9"/>
    <w:rPr>
      <w:rFonts w:ascii="仿宋_GB2312" w:hAnsi="Times New Roman" w:eastAsia="仿宋_GB2312" w:cs="Times New Roman"/>
      <w:b/>
      <w:sz w:val="24"/>
      <w:szCs w:val="21"/>
    </w:rPr>
  </w:style>
  <w:style w:type="character" w:customStyle="1" w:styleId="150">
    <w:name w:val="font61"/>
    <w:qFormat/>
    <w:uiPriority w:val="0"/>
    <w:rPr>
      <w:rFonts w:hint="default" w:ascii="Times New Roman" w:hAnsi="Times New Roman" w:cs="Times New Roman"/>
      <w:color w:val="000000"/>
      <w:sz w:val="18"/>
      <w:szCs w:val="18"/>
      <w:u w:val="none"/>
    </w:rPr>
  </w:style>
  <w:style w:type="character" w:customStyle="1" w:styleId="151">
    <w:name w:val="脚注文本 Char"/>
    <w:basedOn w:val="44"/>
    <w:qFormat/>
    <w:uiPriority w:val="0"/>
    <w:rPr>
      <w:sz w:val="18"/>
      <w:szCs w:val="18"/>
    </w:rPr>
  </w:style>
  <w:style w:type="character" w:customStyle="1" w:styleId="152">
    <w:name w:val="日期 字符1"/>
    <w:qFormat/>
    <w:uiPriority w:val="99"/>
    <w:rPr>
      <w:rFonts w:ascii="Times New Roman" w:hAnsi="Times New Roman"/>
      <w:kern w:val="2"/>
      <w:sz w:val="21"/>
      <w:szCs w:val="22"/>
    </w:rPr>
  </w:style>
  <w:style w:type="character" w:customStyle="1" w:styleId="153">
    <w:name w:val="btn-load-bf16"/>
    <w:qFormat/>
    <w:uiPriority w:val="0"/>
    <w:rPr>
      <w:sz w:val="24"/>
      <w:szCs w:val="20"/>
      <w:bdr w:val="single" w:color="CCD4D9" w:sz="12" w:space="0"/>
    </w:rPr>
  </w:style>
  <w:style w:type="character" w:customStyle="1" w:styleId="154">
    <w:name w:val="题注表3- Char"/>
    <w:link w:val="155"/>
    <w:qFormat/>
    <w:uiPriority w:val="0"/>
    <w:rPr>
      <w:rFonts w:ascii="Times New Roman" w:hAnsi="Times New Roman" w:eastAsia="黑体" w:cs="΢   ź"/>
      <w:sz w:val="24"/>
      <w:szCs w:val="24"/>
    </w:rPr>
  </w:style>
  <w:style w:type="paragraph" w:customStyle="1" w:styleId="155">
    <w:name w:val="题注表3-"/>
    <w:basedOn w:val="156"/>
    <w:link w:val="154"/>
    <w:qFormat/>
    <w:uiPriority w:val="0"/>
    <w:pPr>
      <w:tabs>
        <w:tab w:val="left" w:pos="720"/>
      </w:tabs>
      <w:ind w:left="720" w:hanging="720"/>
    </w:pPr>
    <w:rPr>
      <w:rFonts w:ascii="Times New Roman" w:hAnsi="Times New Roman" w:cs="΢   ź"/>
      <w:szCs w:val="24"/>
    </w:rPr>
  </w:style>
  <w:style w:type="paragraph" w:customStyle="1" w:styleId="156">
    <w:name w:val="题注表2-"/>
    <w:basedOn w:val="15"/>
    <w:link w:val="157"/>
    <w:qFormat/>
    <w:uiPriority w:val="0"/>
    <w:pPr>
      <w:numPr>
        <w:ilvl w:val="0"/>
        <w:numId w:val="2"/>
      </w:numPr>
      <w:spacing w:line="360" w:lineRule="auto"/>
      <w:ind w:left="0" w:firstLine="0"/>
      <w:jc w:val="center"/>
    </w:pPr>
    <w:rPr>
      <w:rFonts w:ascii="Cambria" w:hAnsi="Cambria"/>
      <w:sz w:val="24"/>
    </w:rPr>
  </w:style>
  <w:style w:type="character" w:customStyle="1" w:styleId="157">
    <w:name w:val="题注表2- Char"/>
    <w:link w:val="156"/>
    <w:qFormat/>
    <w:uiPriority w:val="0"/>
    <w:rPr>
      <w:rFonts w:ascii="Cambria" w:hAnsi="Cambria" w:eastAsia="黑体"/>
      <w:sz w:val="24"/>
    </w:rPr>
  </w:style>
  <w:style w:type="character" w:customStyle="1" w:styleId="158">
    <w:name w:val="icon-sohu-click-b"/>
    <w:qFormat/>
    <w:uiPriority w:val="0"/>
    <w:rPr>
      <w:sz w:val="24"/>
      <w:szCs w:val="20"/>
    </w:rPr>
  </w:style>
  <w:style w:type="character" w:customStyle="1" w:styleId="159">
    <w:name w:val="psw"/>
    <w:qFormat/>
    <w:uiPriority w:val="0"/>
    <w:rPr>
      <w:sz w:val="24"/>
      <w:szCs w:val="20"/>
    </w:rPr>
  </w:style>
  <w:style w:type="character" w:customStyle="1" w:styleId="160">
    <w:name w:val="正文首行缩进 2 Char"/>
    <w:link w:val="60"/>
    <w:qFormat/>
    <w:uiPriority w:val="0"/>
    <w:rPr>
      <w:rFonts w:ascii="Times New Roman" w:hAnsi="Times New Roman"/>
      <w:kern w:val="2"/>
      <w:sz w:val="24"/>
      <w:szCs w:val="24"/>
    </w:rPr>
  </w:style>
  <w:style w:type="character" w:customStyle="1" w:styleId="161">
    <w:name w:val="font111"/>
    <w:qFormat/>
    <w:uiPriority w:val="0"/>
    <w:rPr>
      <w:rFonts w:hint="default" w:ascii="Times New Roman" w:hAnsi="Times New Roman" w:cs="Times New Roman"/>
      <w:color w:val="000000"/>
      <w:sz w:val="20"/>
      <w:szCs w:val="20"/>
      <w:u w:val="none"/>
    </w:rPr>
  </w:style>
  <w:style w:type="character" w:customStyle="1" w:styleId="162">
    <w:name w:val="icon-renren-cancel-b1"/>
    <w:qFormat/>
    <w:uiPriority w:val="0"/>
    <w:rPr>
      <w:sz w:val="24"/>
      <w:szCs w:val="20"/>
    </w:rPr>
  </w:style>
  <w:style w:type="character" w:customStyle="1" w:styleId="163">
    <w:name w:val="fontstrikethrough"/>
    <w:qFormat/>
    <w:uiPriority w:val="0"/>
    <w:rPr>
      <w:strike/>
      <w:sz w:val="24"/>
      <w:szCs w:val="20"/>
    </w:rPr>
  </w:style>
  <w:style w:type="character" w:customStyle="1" w:styleId="164">
    <w:name w:val="icon30-visitor-b2"/>
    <w:qFormat/>
    <w:uiPriority w:val="0"/>
    <w:rPr>
      <w:sz w:val="24"/>
      <w:szCs w:val="20"/>
    </w:rPr>
  </w:style>
  <w:style w:type="character" w:customStyle="1" w:styleId="165">
    <w:name w:val="sidecatalog-index2"/>
    <w:qFormat/>
    <w:uiPriority w:val="0"/>
    <w:rPr>
      <w:rFonts w:ascii="Arail" w:hAnsi="Arail" w:eastAsia="Arail" w:cs="Arail"/>
      <w:color w:val="999999"/>
      <w:sz w:val="21"/>
      <w:szCs w:val="21"/>
    </w:rPr>
  </w:style>
  <w:style w:type="character" w:customStyle="1" w:styleId="166">
    <w:name w:val="未处理的提及2"/>
    <w:unhideWhenUsed/>
    <w:qFormat/>
    <w:uiPriority w:val="99"/>
    <w:rPr>
      <w:color w:val="605E5C"/>
      <w:shd w:val="clear" w:color="auto" w:fill="E1DFDD"/>
    </w:rPr>
  </w:style>
  <w:style w:type="character" w:customStyle="1" w:styleId="167">
    <w:name w:val="文档结构图 Char"/>
    <w:qFormat/>
    <w:uiPriority w:val="99"/>
    <w:rPr>
      <w:rFonts w:ascii="宋体" w:hAnsi="Times New Roman"/>
      <w:sz w:val="18"/>
      <w:szCs w:val="18"/>
    </w:rPr>
  </w:style>
  <w:style w:type="character" w:customStyle="1" w:styleId="168">
    <w:name w:val="font31"/>
    <w:qFormat/>
    <w:uiPriority w:val="0"/>
    <w:rPr>
      <w:rFonts w:ascii="Arial" w:hAnsi="Arial" w:cs="Arial"/>
      <w:color w:val="000000"/>
      <w:sz w:val="20"/>
      <w:szCs w:val="20"/>
      <w:u w:val="none"/>
    </w:rPr>
  </w:style>
  <w:style w:type="character" w:customStyle="1" w:styleId="169">
    <w:name w:val="icon30-qq-b2"/>
    <w:qFormat/>
    <w:uiPriority w:val="0"/>
    <w:rPr>
      <w:sz w:val="24"/>
      <w:szCs w:val="20"/>
    </w:rPr>
  </w:style>
  <w:style w:type="character" w:customStyle="1" w:styleId="170">
    <w:name w:val="正文文本缩进 Char"/>
    <w:qFormat/>
    <w:uiPriority w:val="99"/>
    <w:rPr>
      <w:rFonts w:ascii="Times New Roman" w:hAnsi="Times New Roman"/>
      <w:kern w:val="2"/>
      <w:sz w:val="21"/>
      <w:szCs w:val="22"/>
    </w:rPr>
  </w:style>
  <w:style w:type="character" w:customStyle="1" w:styleId="171">
    <w:name w:val="页脚 字符2"/>
    <w:qFormat/>
    <w:uiPriority w:val="0"/>
    <w:rPr>
      <w:rFonts w:ascii="Times New Roman" w:hAnsi="Times New Roman" w:eastAsia="宋体" w:cs="Times New Roman"/>
      <w:sz w:val="18"/>
      <w:szCs w:val="18"/>
    </w:rPr>
  </w:style>
  <w:style w:type="character" w:customStyle="1" w:styleId="172">
    <w:name w:val="页脚 Char"/>
    <w:basedOn w:val="44"/>
    <w:qFormat/>
    <w:uiPriority w:val="99"/>
    <w:rPr>
      <w:sz w:val="18"/>
      <w:szCs w:val="18"/>
    </w:rPr>
  </w:style>
  <w:style w:type="character" w:customStyle="1" w:styleId="173">
    <w:name w:val="more1"/>
    <w:qFormat/>
    <w:uiPriority w:val="0"/>
    <w:rPr>
      <w:sz w:val="24"/>
      <w:szCs w:val="20"/>
    </w:rPr>
  </w:style>
  <w:style w:type="character" w:customStyle="1" w:styleId="174">
    <w:name w:val="font181"/>
    <w:qFormat/>
    <w:uiPriority w:val="0"/>
    <w:rPr>
      <w:rFonts w:hint="default" w:ascii="Times New Roman" w:hAnsi="Times New Roman" w:cs="Times New Roman"/>
      <w:color w:val="000000"/>
      <w:sz w:val="20"/>
      <w:szCs w:val="20"/>
      <w:u w:val="none"/>
    </w:rPr>
  </w:style>
  <w:style w:type="character" w:customStyle="1" w:styleId="175">
    <w:name w:val="表题 Char"/>
    <w:link w:val="176"/>
    <w:qFormat/>
    <w:locked/>
    <w:uiPriority w:val="0"/>
    <w:rPr>
      <w:rFonts w:ascii="黑体" w:eastAsia="黑体"/>
      <w:szCs w:val="21"/>
    </w:rPr>
  </w:style>
  <w:style w:type="paragraph" w:customStyle="1" w:styleId="176">
    <w:name w:val="表题"/>
    <w:link w:val="175"/>
    <w:qFormat/>
    <w:uiPriority w:val="0"/>
    <w:pPr>
      <w:spacing w:before="156" w:after="78"/>
      <w:jc w:val="center"/>
    </w:pPr>
    <w:rPr>
      <w:rFonts w:ascii="黑体" w:eastAsia="黑体" w:hAnsiTheme="minorHAnsi" w:cstheme="minorBidi"/>
      <w:kern w:val="2"/>
      <w:sz w:val="21"/>
      <w:szCs w:val="21"/>
      <w:lang w:val="en-US" w:eastAsia="zh-CN" w:bidi="ar-SA"/>
    </w:rPr>
  </w:style>
  <w:style w:type="character" w:customStyle="1" w:styleId="177">
    <w:name w:val="正文首行缩进 2 Char2"/>
    <w:basedOn w:val="78"/>
    <w:semiHidden/>
    <w:qFormat/>
    <w:uiPriority w:val="99"/>
  </w:style>
  <w:style w:type="character" w:customStyle="1" w:styleId="178">
    <w:name w:val="font51"/>
    <w:qFormat/>
    <w:uiPriority w:val="0"/>
    <w:rPr>
      <w:rFonts w:hint="eastAsia" w:ascii="宋体" w:hAnsi="宋体" w:eastAsia="宋体" w:cs="宋体"/>
      <w:color w:val="000000"/>
      <w:sz w:val="21"/>
      <w:szCs w:val="21"/>
      <w:u w:val="none"/>
    </w:rPr>
  </w:style>
  <w:style w:type="character" w:customStyle="1" w:styleId="179">
    <w:name w:val="表格正文 Char"/>
    <w:link w:val="180"/>
    <w:qFormat/>
    <w:uiPriority w:val="99"/>
    <w:rPr>
      <w:szCs w:val="24"/>
    </w:rPr>
  </w:style>
  <w:style w:type="paragraph" w:customStyle="1" w:styleId="180">
    <w:name w:val="表格正文"/>
    <w:basedOn w:val="1"/>
    <w:link w:val="179"/>
    <w:qFormat/>
    <w:uiPriority w:val="99"/>
    <w:pPr>
      <w:spacing w:before="60" w:line="360" w:lineRule="exact"/>
      <w:jc w:val="center"/>
    </w:pPr>
    <w:rPr>
      <w:szCs w:val="24"/>
    </w:rPr>
  </w:style>
  <w:style w:type="character" w:customStyle="1" w:styleId="181">
    <w:name w:val="icon-qzone-b2"/>
    <w:qFormat/>
    <w:uiPriority w:val="0"/>
    <w:rPr>
      <w:sz w:val="24"/>
      <w:szCs w:val="20"/>
    </w:rPr>
  </w:style>
  <w:style w:type="character" w:customStyle="1" w:styleId="182">
    <w:name w:val="bds_more7"/>
    <w:qFormat/>
    <w:uiPriority w:val="0"/>
    <w:rPr>
      <w:sz w:val="24"/>
      <w:szCs w:val="20"/>
    </w:rPr>
  </w:style>
  <w:style w:type="character" w:customStyle="1" w:styleId="183">
    <w:name w:val="prompt-succeed-w"/>
    <w:qFormat/>
    <w:uiPriority w:val="0"/>
    <w:rPr>
      <w:sz w:val="24"/>
      <w:szCs w:val="20"/>
    </w:rPr>
  </w:style>
  <w:style w:type="character" w:customStyle="1" w:styleId="184">
    <w:name w:val="icon30-sina-b2"/>
    <w:qFormat/>
    <w:uiPriority w:val="0"/>
    <w:rPr>
      <w:sz w:val="24"/>
      <w:szCs w:val="20"/>
    </w:rPr>
  </w:style>
  <w:style w:type="character" w:customStyle="1" w:styleId="185">
    <w:name w:val="title-word-gw"/>
    <w:qFormat/>
    <w:uiPriority w:val="0"/>
    <w:rPr>
      <w:sz w:val="18"/>
      <w:szCs w:val="18"/>
    </w:rPr>
  </w:style>
  <w:style w:type="character" w:customStyle="1" w:styleId="186">
    <w:name w:val="论文摘要关键词内容样式"/>
    <w:qFormat/>
    <w:uiPriority w:val="0"/>
    <w:rPr>
      <w:rFonts w:ascii="楷体_GB2312" w:hAnsi="楷体_GB2312" w:eastAsia="楷体_GB2312" w:cs="Times New Roman"/>
      <w:kern w:val="0"/>
    </w:rPr>
  </w:style>
  <w:style w:type="character" w:customStyle="1" w:styleId="187">
    <w:name w:val="icon-qq-click-b2"/>
    <w:qFormat/>
    <w:uiPriority w:val="0"/>
    <w:rPr>
      <w:sz w:val="24"/>
      <w:szCs w:val="20"/>
    </w:rPr>
  </w:style>
  <w:style w:type="character" w:customStyle="1" w:styleId="188">
    <w:name w:val="font11"/>
    <w:qFormat/>
    <w:uiPriority w:val="0"/>
    <w:rPr>
      <w:rFonts w:hint="eastAsia" w:ascii="宋体" w:hAnsi="宋体" w:eastAsia="宋体" w:cs="宋体"/>
      <w:color w:val="000000"/>
      <w:sz w:val="20"/>
      <w:szCs w:val="20"/>
      <w:u w:val="none"/>
    </w:rPr>
  </w:style>
  <w:style w:type="character" w:customStyle="1" w:styleId="189">
    <w:name w:val="批注文字 Char3"/>
    <w:basedOn w:val="44"/>
    <w:semiHidden/>
    <w:qFormat/>
    <w:uiPriority w:val="99"/>
  </w:style>
  <w:style w:type="character" w:customStyle="1" w:styleId="190">
    <w:name w:val="icon-renren-click-b"/>
    <w:qFormat/>
    <w:uiPriority w:val="0"/>
    <w:rPr>
      <w:sz w:val="24"/>
      <w:szCs w:val="20"/>
    </w:rPr>
  </w:style>
  <w:style w:type="character" w:customStyle="1" w:styleId="191">
    <w:name w:val="icon-qq-cancel-b1"/>
    <w:qFormat/>
    <w:uiPriority w:val="0"/>
    <w:rPr>
      <w:sz w:val="24"/>
      <w:szCs w:val="20"/>
    </w:rPr>
  </w:style>
  <w:style w:type="character" w:customStyle="1" w:styleId="192">
    <w:name w:val="user-time-gw4"/>
    <w:qFormat/>
    <w:uiPriority w:val="0"/>
    <w:rPr>
      <w:vanish/>
      <w:sz w:val="24"/>
      <w:szCs w:val="20"/>
    </w:rPr>
  </w:style>
  <w:style w:type="character" w:customStyle="1" w:styleId="193">
    <w:name w:val="表格内容 Char Char"/>
    <w:link w:val="194"/>
    <w:qFormat/>
    <w:uiPriority w:val="0"/>
    <w:rPr>
      <w:rFonts w:eastAsia="方正仿宋简体"/>
      <w:sz w:val="24"/>
      <w:szCs w:val="24"/>
    </w:rPr>
  </w:style>
  <w:style w:type="paragraph" w:customStyle="1" w:styleId="194">
    <w:name w:val="表格内容"/>
    <w:basedOn w:val="1"/>
    <w:link w:val="193"/>
    <w:qFormat/>
    <w:uiPriority w:val="0"/>
    <w:pPr>
      <w:adjustRightInd w:val="0"/>
      <w:snapToGrid w:val="0"/>
      <w:jc w:val="center"/>
    </w:pPr>
    <w:rPr>
      <w:rFonts w:eastAsia="方正仿宋简体"/>
      <w:sz w:val="24"/>
      <w:szCs w:val="24"/>
    </w:rPr>
  </w:style>
  <w:style w:type="character" w:customStyle="1" w:styleId="195">
    <w:name w:val="纯文本 字符3"/>
    <w:qFormat/>
    <w:uiPriority w:val="99"/>
    <w:rPr>
      <w:rFonts w:ascii="宋体" w:hAnsi="Courier New" w:eastAsia="宋体" w:cs="Courier New"/>
      <w:szCs w:val="21"/>
    </w:rPr>
  </w:style>
  <w:style w:type="character" w:customStyle="1" w:styleId="196">
    <w:name w:val="title-name-gw2"/>
    <w:qFormat/>
    <w:uiPriority w:val="0"/>
    <w:rPr>
      <w:sz w:val="24"/>
      <w:szCs w:val="20"/>
    </w:rPr>
  </w:style>
  <w:style w:type="character" w:customStyle="1" w:styleId="197">
    <w:name w:val="prompt-empty-w2"/>
    <w:qFormat/>
    <w:uiPriority w:val="0"/>
    <w:rPr>
      <w:sz w:val="24"/>
      <w:szCs w:val="20"/>
    </w:rPr>
  </w:style>
  <w:style w:type="character" w:customStyle="1" w:styleId="198">
    <w:name w:val="btn-fw6"/>
    <w:qFormat/>
    <w:uiPriority w:val="0"/>
    <w:rPr>
      <w:sz w:val="24"/>
      <w:szCs w:val="20"/>
    </w:rPr>
  </w:style>
  <w:style w:type="character" w:customStyle="1" w:styleId="199">
    <w:name w:val="icon-sina-click-b1"/>
    <w:qFormat/>
    <w:uiPriority w:val="0"/>
    <w:rPr>
      <w:sz w:val="24"/>
      <w:szCs w:val="20"/>
    </w:rPr>
  </w:style>
  <w:style w:type="character" w:customStyle="1" w:styleId="200">
    <w:name w:val="icon-sohu-click-b2"/>
    <w:qFormat/>
    <w:uiPriority w:val="0"/>
    <w:rPr>
      <w:sz w:val="24"/>
      <w:szCs w:val="20"/>
    </w:rPr>
  </w:style>
  <w:style w:type="character" w:customStyle="1" w:styleId="201">
    <w:name w:val="icon30-sohu-b2"/>
    <w:qFormat/>
    <w:uiPriority w:val="0"/>
    <w:rPr>
      <w:sz w:val="24"/>
      <w:szCs w:val="20"/>
    </w:rPr>
  </w:style>
  <w:style w:type="character" w:customStyle="1" w:styleId="202">
    <w:name w:val="font171"/>
    <w:qFormat/>
    <w:uiPriority w:val="0"/>
    <w:rPr>
      <w:rFonts w:hint="eastAsia" w:ascii="宋体" w:hAnsi="宋体" w:eastAsia="宋体" w:cs="宋体"/>
      <w:color w:val="000000"/>
      <w:sz w:val="20"/>
      <w:szCs w:val="20"/>
      <w:u w:val="none"/>
    </w:rPr>
  </w:style>
  <w:style w:type="character" w:customStyle="1" w:styleId="203">
    <w:name w:val="icon30-sina-b"/>
    <w:qFormat/>
    <w:uiPriority w:val="0"/>
    <w:rPr>
      <w:sz w:val="24"/>
      <w:szCs w:val="20"/>
    </w:rPr>
  </w:style>
  <w:style w:type="character" w:customStyle="1" w:styleId="204">
    <w:name w:val="bds_nopic"/>
    <w:basedOn w:val="44"/>
    <w:qFormat/>
    <w:uiPriority w:val="0"/>
  </w:style>
  <w:style w:type="character" w:customStyle="1" w:styleId="205">
    <w:name w:val="论文三级标题样式 Char"/>
    <w:link w:val="206"/>
    <w:qFormat/>
    <w:locked/>
    <w:uiPriority w:val="0"/>
    <w:rPr>
      <w:rFonts w:eastAsia="楷体_GB2312"/>
      <w:szCs w:val="24"/>
    </w:rPr>
  </w:style>
  <w:style w:type="paragraph" w:customStyle="1" w:styleId="206">
    <w:name w:val="论文三级标题样式"/>
    <w:basedOn w:val="1"/>
    <w:link w:val="205"/>
    <w:qFormat/>
    <w:uiPriority w:val="0"/>
    <w:pPr>
      <w:widowControl/>
      <w:spacing w:before="100" w:beforeAutospacing="1" w:after="100" w:afterAutospacing="1" w:line="267" w:lineRule="atLeast"/>
      <w:jc w:val="left"/>
    </w:pPr>
    <w:rPr>
      <w:rFonts w:eastAsia="楷体_GB2312"/>
      <w:szCs w:val="24"/>
    </w:rPr>
  </w:style>
  <w:style w:type="character" w:customStyle="1" w:styleId="207">
    <w:name w:val="num"/>
    <w:qFormat/>
    <w:uiPriority w:val="0"/>
    <w:rPr>
      <w:color w:val="A00101"/>
      <w:sz w:val="24"/>
      <w:szCs w:val="20"/>
    </w:rPr>
  </w:style>
  <w:style w:type="character" w:customStyle="1" w:styleId="208">
    <w:name w:val="icon30-sohu-b7"/>
    <w:qFormat/>
    <w:uiPriority w:val="0"/>
    <w:rPr>
      <w:sz w:val="24"/>
      <w:szCs w:val="20"/>
    </w:rPr>
  </w:style>
  <w:style w:type="character" w:customStyle="1" w:styleId="209">
    <w:name w:val="批注文字 字符2"/>
    <w:qFormat/>
    <w:uiPriority w:val="0"/>
    <w:rPr>
      <w:rFonts w:ascii="Times New Roman" w:hAnsi="Times New Roman"/>
    </w:rPr>
  </w:style>
  <w:style w:type="character" w:customStyle="1" w:styleId="210">
    <w:name w:val="icon30-renren-b"/>
    <w:qFormat/>
    <w:uiPriority w:val="0"/>
    <w:rPr>
      <w:sz w:val="24"/>
      <w:szCs w:val="20"/>
    </w:rPr>
  </w:style>
  <w:style w:type="character" w:customStyle="1" w:styleId="211">
    <w:name w:val="标题3 Char"/>
    <w:link w:val="212"/>
    <w:qFormat/>
    <w:uiPriority w:val="0"/>
    <w:rPr>
      <w:rFonts w:ascii="仿宋_GB2312" w:hAnsi="Times New Roman" w:eastAsia="楷体_GB2312"/>
      <w:b/>
      <w:sz w:val="32"/>
      <w:szCs w:val="28"/>
    </w:rPr>
  </w:style>
  <w:style w:type="paragraph" w:customStyle="1" w:styleId="212">
    <w:name w:val="标题3"/>
    <w:basedOn w:val="1"/>
    <w:link w:val="211"/>
    <w:qFormat/>
    <w:uiPriority w:val="0"/>
    <w:pPr>
      <w:snapToGrid w:val="0"/>
      <w:spacing w:line="570" w:lineRule="exact"/>
      <w:ind w:firstLine="200" w:firstLineChars="200"/>
    </w:pPr>
    <w:rPr>
      <w:rFonts w:ascii="仿宋_GB2312" w:hAnsi="Times New Roman" w:eastAsia="楷体_GB2312"/>
      <w:b/>
      <w:sz w:val="32"/>
      <w:szCs w:val="28"/>
    </w:rPr>
  </w:style>
  <w:style w:type="character" w:customStyle="1" w:styleId="213">
    <w:name w:val="sidecatalog-dot"/>
    <w:qFormat/>
    <w:uiPriority w:val="0"/>
    <w:rPr>
      <w:sz w:val="24"/>
      <w:szCs w:val="20"/>
    </w:rPr>
  </w:style>
  <w:style w:type="character" w:customStyle="1" w:styleId="214">
    <w:name w:val="prompt-empty-w"/>
    <w:qFormat/>
    <w:uiPriority w:val="0"/>
    <w:rPr>
      <w:color w:val="EE542A"/>
      <w:sz w:val="24"/>
      <w:szCs w:val="20"/>
      <w:shd w:val="clear" w:color="auto" w:fill="FEF2E1"/>
    </w:rPr>
  </w:style>
  <w:style w:type="character" w:customStyle="1" w:styleId="215">
    <w:name w:val="btn-load-bf2"/>
    <w:qFormat/>
    <w:uiPriority w:val="0"/>
    <w:rPr>
      <w:sz w:val="24"/>
      <w:szCs w:val="20"/>
      <w:bdr w:val="single" w:color="CCD4D9" w:sz="12" w:space="0"/>
    </w:rPr>
  </w:style>
  <w:style w:type="character" w:customStyle="1" w:styleId="216">
    <w:name w:val="font81"/>
    <w:qFormat/>
    <w:uiPriority w:val="0"/>
    <w:rPr>
      <w:rFonts w:hint="eastAsia" w:ascii="宋体" w:hAnsi="宋体" w:eastAsia="宋体" w:cs="宋体"/>
      <w:color w:val="000000"/>
      <w:sz w:val="20"/>
      <w:szCs w:val="20"/>
      <w:u w:val="none"/>
    </w:rPr>
  </w:style>
  <w:style w:type="character" w:customStyle="1" w:styleId="217">
    <w:name w:val="fontstyle01"/>
    <w:qFormat/>
    <w:uiPriority w:val="0"/>
    <w:rPr>
      <w:rFonts w:hint="eastAsia" w:ascii="宋体" w:hAnsi="宋体" w:eastAsia="宋体"/>
      <w:color w:val="000000"/>
      <w:sz w:val="28"/>
      <w:szCs w:val="28"/>
    </w:rPr>
  </w:style>
  <w:style w:type="character" w:customStyle="1" w:styleId="218">
    <w:name w:val="bds_more1"/>
    <w:qFormat/>
    <w:uiPriority w:val="0"/>
  </w:style>
  <w:style w:type="character" w:customStyle="1" w:styleId="219">
    <w:name w:val="正文文本缩进 2 Char"/>
    <w:qFormat/>
    <w:uiPriority w:val="0"/>
    <w:rPr>
      <w:rFonts w:ascii="Times New Roman" w:hAnsi="Times New Roman" w:eastAsia="宋体" w:cs="Times New Roman"/>
    </w:rPr>
  </w:style>
  <w:style w:type="character" w:customStyle="1" w:styleId="220">
    <w:name w:val="icon30-sohu-b8"/>
    <w:qFormat/>
    <w:uiPriority w:val="0"/>
    <w:rPr>
      <w:sz w:val="24"/>
      <w:szCs w:val="20"/>
    </w:rPr>
  </w:style>
  <w:style w:type="character" w:customStyle="1" w:styleId="221">
    <w:name w:val="morelink-item"/>
    <w:qFormat/>
    <w:uiPriority w:val="0"/>
    <w:rPr>
      <w:sz w:val="24"/>
      <w:szCs w:val="20"/>
    </w:rPr>
  </w:style>
  <w:style w:type="character" w:customStyle="1" w:styleId="222">
    <w:name w:val="批注主题 Char"/>
    <w:qFormat/>
    <w:uiPriority w:val="99"/>
    <w:rPr>
      <w:rFonts w:ascii="Times New Roman" w:hAnsi="Times New Roman"/>
      <w:b/>
      <w:bCs/>
      <w:szCs w:val="24"/>
    </w:rPr>
  </w:style>
  <w:style w:type="character" w:customStyle="1" w:styleId="223">
    <w:name w:val="题注3-1 Char"/>
    <w:link w:val="224"/>
    <w:qFormat/>
    <w:uiPriority w:val="0"/>
    <w:rPr>
      <w:rFonts w:ascii="Arial" w:hAnsi="Arial" w:eastAsia="黑体"/>
    </w:rPr>
  </w:style>
  <w:style w:type="paragraph" w:customStyle="1" w:styleId="224">
    <w:name w:val="题注3-1"/>
    <w:basedOn w:val="15"/>
    <w:link w:val="223"/>
    <w:qFormat/>
    <w:uiPriority w:val="0"/>
    <w:pPr>
      <w:numPr>
        <w:ilvl w:val="0"/>
        <w:numId w:val="3"/>
      </w:numPr>
      <w:spacing w:line="360" w:lineRule="auto"/>
      <w:jc w:val="center"/>
    </w:pPr>
  </w:style>
  <w:style w:type="character" w:customStyle="1" w:styleId="225">
    <w:name w:val="font101"/>
    <w:qFormat/>
    <w:uiPriority w:val="0"/>
    <w:rPr>
      <w:rFonts w:hint="eastAsia" w:ascii="宋体" w:hAnsi="宋体" w:eastAsia="宋体" w:cs="宋体"/>
      <w:color w:val="000000"/>
      <w:sz w:val="20"/>
      <w:szCs w:val="20"/>
      <w:u w:val="none"/>
      <w:vertAlign w:val="superscript"/>
    </w:rPr>
  </w:style>
  <w:style w:type="character" w:customStyle="1" w:styleId="226">
    <w:name w:val="图表样式20140920 Char"/>
    <w:link w:val="227"/>
    <w:qFormat/>
    <w:uiPriority w:val="0"/>
    <w:rPr>
      <w:rFonts w:ascii="Times New Roman" w:hAnsi="Times New Roman" w:eastAsia="黑体"/>
      <w:sz w:val="24"/>
      <w:szCs w:val="24"/>
    </w:rPr>
  </w:style>
  <w:style w:type="paragraph" w:customStyle="1" w:styleId="227">
    <w:name w:val="图表样式20140920"/>
    <w:basedOn w:val="1"/>
    <w:link w:val="226"/>
    <w:qFormat/>
    <w:uiPriority w:val="0"/>
    <w:pPr>
      <w:widowControl/>
      <w:spacing w:beforeLines="50" w:afterLines="50" w:line="0" w:lineRule="atLeast"/>
      <w:jc w:val="center"/>
    </w:pPr>
    <w:rPr>
      <w:rFonts w:ascii="Times New Roman" w:hAnsi="Times New Roman" w:eastAsia="黑体"/>
      <w:sz w:val="24"/>
      <w:szCs w:val="24"/>
    </w:rPr>
  </w:style>
  <w:style w:type="character" w:customStyle="1" w:styleId="228">
    <w:name w:val="icon-sina-cancel-b"/>
    <w:qFormat/>
    <w:uiPriority w:val="0"/>
    <w:rPr>
      <w:sz w:val="24"/>
      <w:szCs w:val="20"/>
    </w:rPr>
  </w:style>
  <w:style w:type="character" w:customStyle="1" w:styleId="229">
    <w:name w:val="表格内容 Char"/>
    <w:qFormat/>
    <w:uiPriority w:val="0"/>
  </w:style>
  <w:style w:type="character" w:customStyle="1" w:styleId="230">
    <w:name w:val="正文文本 字符2"/>
    <w:qFormat/>
    <w:uiPriority w:val="0"/>
    <w:rPr>
      <w:rFonts w:ascii="Times New Roman" w:hAnsi="Times New Roman" w:eastAsia="仿宋" w:cs="Times New Roman"/>
      <w:sz w:val="24"/>
      <w:szCs w:val="21"/>
    </w:rPr>
  </w:style>
  <w:style w:type="character" w:customStyle="1" w:styleId="231">
    <w:name w:val="polysemyexp"/>
    <w:qFormat/>
    <w:uiPriority w:val="0"/>
    <w:rPr>
      <w:color w:val="AAAAAA"/>
      <w:sz w:val="18"/>
      <w:szCs w:val="18"/>
    </w:rPr>
  </w:style>
  <w:style w:type="character" w:customStyle="1" w:styleId="232">
    <w:name w:val="font12"/>
    <w:qFormat/>
    <w:uiPriority w:val="0"/>
    <w:rPr>
      <w:rFonts w:hint="default" w:ascii="Times New Roman" w:hAnsi="Times New Roman" w:cs="Times New Roman"/>
      <w:color w:val="000000"/>
      <w:sz w:val="20"/>
      <w:szCs w:val="20"/>
      <w:u w:val="none"/>
    </w:rPr>
  </w:style>
  <w:style w:type="character" w:customStyle="1" w:styleId="233">
    <w:name w:val="题注 6- Char"/>
    <w:link w:val="234"/>
    <w:qFormat/>
    <w:uiPriority w:val="0"/>
    <w:rPr>
      <w:rFonts w:ascii="Arial" w:hAnsi="Arial" w:eastAsia="黑体"/>
    </w:rPr>
  </w:style>
  <w:style w:type="paragraph" w:customStyle="1" w:styleId="234">
    <w:name w:val="题注 6-"/>
    <w:basedOn w:val="224"/>
    <w:next w:val="224"/>
    <w:link w:val="233"/>
    <w:qFormat/>
    <w:uiPriority w:val="0"/>
    <w:pPr>
      <w:numPr>
        <w:numId w:val="4"/>
      </w:numPr>
    </w:pPr>
  </w:style>
  <w:style w:type="character" w:customStyle="1" w:styleId="235">
    <w:name w:val="icon30-sohu-b6"/>
    <w:qFormat/>
    <w:uiPriority w:val="0"/>
    <w:rPr>
      <w:sz w:val="24"/>
      <w:szCs w:val="20"/>
    </w:rPr>
  </w:style>
  <w:style w:type="character" w:customStyle="1" w:styleId="236">
    <w:name w:val="ranknum"/>
    <w:qFormat/>
    <w:uiPriority w:val="0"/>
    <w:rPr>
      <w:rFonts w:ascii="Arial" w:hAnsi="Arial" w:cs="Arial"/>
      <w:b/>
      <w:i/>
      <w:color w:val="FFFFFF"/>
      <w:sz w:val="24"/>
      <w:szCs w:val="20"/>
      <w:shd w:val="clear" w:color="auto" w:fill="CACACA"/>
    </w:rPr>
  </w:style>
  <w:style w:type="character" w:customStyle="1" w:styleId="237">
    <w:name w:val="btn-load-bf1"/>
    <w:qFormat/>
    <w:uiPriority w:val="0"/>
    <w:rPr>
      <w:sz w:val="24"/>
      <w:szCs w:val="20"/>
    </w:rPr>
  </w:style>
  <w:style w:type="character" w:customStyle="1" w:styleId="238">
    <w:name w:val="正文文本缩进 2 字符1"/>
    <w:qFormat/>
    <w:uiPriority w:val="99"/>
    <w:rPr>
      <w:rFonts w:ascii="Times New Roman" w:hAnsi="Times New Roman"/>
      <w:kern w:val="2"/>
      <w:sz w:val="21"/>
      <w:szCs w:val="22"/>
    </w:rPr>
  </w:style>
  <w:style w:type="character" w:customStyle="1" w:styleId="239">
    <w:name w:val="datetime1"/>
    <w:qFormat/>
    <w:uiPriority w:val="0"/>
  </w:style>
  <w:style w:type="character" w:customStyle="1" w:styleId="240">
    <w:name w:val="批注文字 字符1"/>
    <w:qFormat/>
    <w:uiPriority w:val="99"/>
    <w:rPr>
      <w:rFonts w:ascii="Times New Roman" w:hAnsi="Times New Roman"/>
      <w:kern w:val="2"/>
      <w:sz w:val="21"/>
      <w:szCs w:val="22"/>
    </w:rPr>
  </w:style>
  <w:style w:type="character" w:customStyle="1" w:styleId="241">
    <w:name w:val="标题 3 字符1"/>
    <w:qFormat/>
    <w:uiPriority w:val="0"/>
    <w:rPr>
      <w:rFonts w:ascii="Calibri" w:hAnsi="Calibri"/>
      <w:b/>
      <w:bCs/>
      <w:kern w:val="2"/>
      <w:sz w:val="28"/>
      <w:szCs w:val="32"/>
    </w:rPr>
  </w:style>
  <w:style w:type="character" w:customStyle="1" w:styleId="242">
    <w:name w:val="标题 字符3"/>
    <w:qFormat/>
    <w:uiPriority w:val="10"/>
    <w:rPr>
      <w:rFonts w:ascii="Cambria" w:hAnsi="Cambria" w:eastAsia="仿宋" w:cs="Times New Roman"/>
      <w:b/>
      <w:bCs/>
      <w:sz w:val="32"/>
      <w:szCs w:val="32"/>
    </w:rPr>
  </w:style>
  <w:style w:type="character" w:customStyle="1" w:styleId="243">
    <w:name w:val="图表内容 Char"/>
    <w:link w:val="244"/>
    <w:qFormat/>
    <w:uiPriority w:val="0"/>
    <w:rPr>
      <w:rFonts w:hAnsi="宋体"/>
      <w:bCs/>
      <w:color w:val="000000"/>
      <w:sz w:val="24"/>
      <w:szCs w:val="21"/>
    </w:rPr>
  </w:style>
  <w:style w:type="paragraph" w:customStyle="1" w:styleId="244">
    <w:name w:val="图表内容"/>
    <w:link w:val="243"/>
    <w:qFormat/>
    <w:uiPriority w:val="0"/>
    <w:pPr>
      <w:jc w:val="center"/>
    </w:pPr>
    <w:rPr>
      <w:rFonts w:hAnsi="宋体" w:asciiTheme="minorHAnsi" w:eastAsiaTheme="minorEastAsia" w:cstheme="minorBidi"/>
      <w:bCs/>
      <w:color w:val="000000"/>
      <w:kern w:val="2"/>
      <w:sz w:val="24"/>
      <w:szCs w:val="21"/>
      <w:lang w:val="en-US" w:eastAsia="zh-CN" w:bidi="ar-SA"/>
    </w:rPr>
  </w:style>
  <w:style w:type="character" w:customStyle="1" w:styleId="245">
    <w:name w:val="icon-renren-b1"/>
    <w:qFormat/>
    <w:uiPriority w:val="0"/>
    <w:rPr>
      <w:sz w:val="24"/>
      <w:szCs w:val="20"/>
    </w:rPr>
  </w:style>
  <w:style w:type="character" w:customStyle="1" w:styleId="246">
    <w:name w:val="user-top-gw2"/>
    <w:qFormat/>
    <w:uiPriority w:val="0"/>
    <w:rPr>
      <w:vanish/>
      <w:sz w:val="24"/>
      <w:szCs w:val="20"/>
    </w:rPr>
  </w:style>
  <w:style w:type="character" w:customStyle="1" w:styleId="247">
    <w:name w:val="icon-sina-cancel-b1"/>
    <w:qFormat/>
    <w:uiPriority w:val="0"/>
    <w:rPr>
      <w:sz w:val="24"/>
      <w:szCs w:val="20"/>
    </w:rPr>
  </w:style>
  <w:style w:type="character" w:customStyle="1" w:styleId="248">
    <w:name w:val="icon30-sohu-b"/>
    <w:qFormat/>
    <w:uiPriority w:val="0"/>
    <w:rPr>
      <w:sz w:val="24"/>
      <w:szCs w:val="20"/>
    </w:rPr>
  </w:style>
  <w:style w:type="character" w:customStyle="1" w:styleId="249">
    <w:name w:val="文档结构图 Char1"/>
    <w:basedOn w:val="44"/>
    <w:semiHidden/>
    <w:qFormat/>
    <w:uiPriority w:val="99"/>
    <w:rPr>
      <w:rFonts w:ascii="宋体" w:eastAsia="宋体"/>
      <w:sz w:val="18"/>
      <w:szCs w:val="18"/>
    </w:rPr>
  </w:style>
  <w:style w:type="character" w:customStyle="1" w:styleId="250">
    <w:name w:val="19"/>
    <w:qFormat/>
    <w:uiPriority w:val="0"/>
    <w:rPr>
      <w:rFonts w:hint="eastAsia" w:ascii="宋体" w:hAnsi="宋体" w:eastAsia="宋体"/>
      <w:color w:val="000000"/>
      <w:sz w:val="24"/>
      <w:szCs w:val="24"/>
    </w:rPr>
  </w:style>
  <w:style w:type="character" w:customStyle="1" w:styleId="251">
    <w:name w:val="icon-renren-click-b1"/>
    <w:qFormat/>
    <w:uiPriority w:val="0"/>
    <w:rPr>
      <w:sz w:val="24"/>
      <w:szCs w:val="20"/>
    </w:rPr>
  </w:style>
  <w:style w:type="character" w:customStyle="1" w:styleId="252">
    <w:name w:val="desc12"/>
    <w:qFormat/>
    <w:uiPriority w:val="0"/>
    <w:rPr>
      <w:color w:val="000000"/>
      <w:sz w:val="18"/>
      <w:szCs w:val="18"/>
    </w:rPr>
  </w:style>
  <w:style w:type="character" w:customStyle="1" w:styleId="253">
    <w:name w:val="font21"/>
    <w:qFormat/>
    <w:uiPriority w:val="0"/>
    <w:rPr>
      <w:rFonts w:hint="eastAsia" w:ascii="宋体" w:hAnsi="宋体" w:eastAsia="宋体" w:cs="宋体"/>
      <w:color w:val="000000"/>
      <w:sz w:val="18"/>
      <w:szCs w:val="18"/>
      <w:u w:val="none"/>
    </w:rPr>
  </w:style>
  <w:style w:type="character" w:customStyle="1" w:styleId="254">
    <w:name w:val="bds_more10"/>
    <w:qFormat/>
    <w:uiPriority w:val="0"/>
    <w:rPr>
      <w:sz w:val="24"/>
      <w:szCs w:val="20"/>
    </w:rPr>
  </w:style>
  <w:style w:type="character" w:customStyle="1" w:styleId="255">
    <w:name w:val="页脚 字符1"/>
    <w:qFormat/>
    <w:uiPriority w:val="99"/>
    <w:rPr>
      <w:rFonts w:ascii="Times New Roman" w:hAnsi="Times New Roman" w:eastAsia="宋体" w:cs="Times New Roman"/>
      <w:sz w:val="18"/>
      <w:szCs w:val="18"/>
    </w:rPr>
  </w:style>
  <w:style w:type="character" w:customStyle="1" w:styleId="256">
    <w:name w:val="btn-load-bf14"/>
    <w:qFormat/>
    <w:uiPriority w:val="0"/>
    <w:rPr>
      <w:sz w:val="24"/>
      <w:szCs w:val="20"/>
    </w:rPr>
  </w:style>
  <w:style w:type="character" w:customStyle="1" w:styleId="257">
    <w:name w:val="font71"/>
    <w:qFormat/>
    <w:uiPriority w:val="0"/>
    <w:rPr>
      <w:rFonts w:hint="default" w:ascii="Times New Roman" w:hAnsi="Times New Roman" w:cs="Times New Roman"/>
      <w:color w:val="000000"/>
      <w:sz w:val="20"/>
      <w:szCs w:val="20"/>
      <w:u w:val="none"/>
    </w:rPr>
  </w:style>
  <w:style w:type="character" w:customStyle="1" w:styleId="258">
    <w:name w:val="post"/>
    <w:qFormat/>
    <w:uiPriority w:val="0"/>
    <w:rPr>
      <w:rFonts w:ascii="Arial" w:hAnsi="Arial" w:cs="Arial"/>
      <w:color w:val="C5C5C5"/>
    </w:rPr>
  </w:style>
  <w:style w:type="character" w:customStyle="1" w:styleId="259">
    <w:name w:val="列出段落 Char"/>
    <w:link w:val="260"/>
    <w:qFormat/>
    <w:uiPriority w:val="34"/>
    <w:rPr>
      <w:rFonts w:ascii="Times New Roman" w:hAnsi="Times New Roman" w:eastAsia="仿宋_GB2312" w:cs="宋体"/>
      <w:sz w:val="28"/>
      <w:szCs w:val="24"/>
    </w:rPr>
  </w:style>
  <w:style w:type="paragraph" w:customStyle="1" w:styleId="260">
    <w:name w:val="列出段落11"/>
    <w:basedOn w:val="1"/>
    <w:link w:val="259"/>
    <w:qFormat/>
    <w:uiPriority w:val="34"/>
    <w:pPr>
      <w:widowControl/>
      <w:spacing w:line="360" w:lineRule="auto"/>
      <w:ind w:firstLine="420" w:firstLineChars="200"/>
    </w:pPr>
    <w:rPr>
      <w:rFonts w:ascii="Times New Roman" w:hAnsi="Times New Roman" w:eastAsia="仿宋_GB2312" w:cs="宋体"/>
      <w:sz w:val="28"/>
      <w:szCs w:val="24"/>
    </w:rPr>
  </w:style>
  <w:style w:type="character" w:customStyle="1" w:styleId="261">
    <w:name w:val="日期 Char"/>
    <w:basedOn w:val="44"/>
    <w:qFormat/>
    <w:uiPriority w:val="99"/>
  </w:style>
  <w:style w:type="character" w:customStyle="1" w:styleId="262">
    <w:name w:val="副标题 Char"/>
    <w:basedOn w:val="44"/>
    <w:qFormat/>
    <w:uiPriority w:val="0"/>
    <w:rPr>
      <w:rFonts w:eastAsia="宋体" w:asciiTheme="majorHAnsi" w:hAnsiTheme="majorHAnsi" w:cstheme="majorBidi"/>
      <w:b/>
      <w:bCs/>
      <w:kern w:val="28"/>
      <w:sz w:val="32"/>
      <w:szCs w:val="32"/>
    </w:rPr>
  </w:style>
  <w:style w:type="character" w:customStyle="1" w:styleId="263">
    <w:name w:val="论文摘要关键字样式"/>
    <w:qFormat/>
    <w:uiPriority w:val="0"/>
    <w:rPr>
      <w:rFonts w:cs="Times New Roman"/>
      <w:b/>
      <w:bCs/>
    </w:rPr>
  </w:style>
  <w:style w:type="character" w:customStyle="1" w:styleId="264">
    <w:name w:val="apple-converted-space"/>
    <w:qFormat/>
    <w:uiPriority w:val="0"/>
  </w:style>
  <w:style w:type="character" w:customStyle="1" w:styleId="265">
    <w:name w:val="表文 Char"/>
    <w:link w:val="266"/>
    <w:qFormat/>
    <w:uiPriority w:val="0"/>
    <w:rPr>
      <w:szCs w:val="24"/>
    </w:rPr>
  </w:style>
  <w:style w:type="paragraph" w:customStyle="1" w:styleId="266">
    <w:name w:val="表文"/>
    <w:link w:val="265"/>
    <w:qFormat/>
    <w:uiPriority w:val="0"/>
    <w:pPr>
      <w:adjustRightInd w:val="0"/>
      <w:snapToGrid w:val="0"/>
      <w:jc w:val="center"/>
    </w:pPr>
    <w:rPr>
      <w:rFonts w:asciiTheme="minorHAnsi" w:hAnsiTheme="minorHAnsi" w:eastAsiaTheme="minorEastAsia" w:cstheme="minorBidi"/>
      <w:kern w:val="2"/>
      <w:sz w:val="21"/>
      <w:szCs w:val="24"/>
      <w:lang w:val="en-US" w:eastAsia="zh-CN" w:bidi="ar-SA"/>
    </w:rPr>
  </w:style>
  <w:style w:type="character" w:customStyle="1" w:styleId="267">
    <w:name w:val="yrr图- 样式 Char"/>
    <w:link w:val="268"/>
    <w:qFormat/>
    <w:uiPriority w:val="0"/>
    <w:rPr>
      <w:rFonts w:eastAsia="黑体"/>
    </w:rPr>
  </w:style>
  <w:style w:type="paragraph" w:customStyle="1" w:styleId="268">
    <w:name w:val="yrr图- 样式"/>
    <w:basedOn w:val="1"/>
    <w:link w:val="267"/>
    <w:qFormat/>
    <w:uiPriority w:val="0"/>
    <w:pPr>
      <w:widowControl/>
      <w:spacing w:line="360" w:lineRule="auto"/>
      <w:jc w:val="center"/>
    </w:pPr>
    <w:rPr>
      <w:rFonts w:eastAsia="黑体"/>
    </w:rPr>
  </w:style>
  <w:style w:type="character" w:customStyle="1" w:styleId="269">
    <w:name w:val="基思正文 Char"/>
    <w:link w:val="270"/>
    <w:qFormat/>
    <w:uiPriority w:val="0"/>
    <w:rPr>
      <w:rFonts w:ascii="仿宋_GB2312" w:eastAsia="仿宋_GB2312"/>
      <w:sz w:val="30"/>
      <w:szCs w:val="30"/>
    </w:rPr>
  </w:style>
  <w:style w:type="paragraph" w:customStyle="1" w:styleId="270">
    <w:name w:val="基思正文"/>
    <w:basedOn w:val="1"/>
    <w:link w:val="269"/>
    <w:qFormat/>
    <w:uiPriority w:val="0"/>
    <w:pPr>
      <w:widowControl/>
      <w:ind w:firstLine="602" w:firstLineChars="200"/>
      <w:jc w:val="left"/>
    </w:pPr>
    <w:rPr>
      <w:rFonts w:ascii="仿宋_GB2312" w:eastAsia="仿宋_GB2312"/>
      <w:sz w:val="30"/>
      <w:szCs w:val="30"/>
    </w:rPr>
  </w:style>
  <w:style w:type="character" w:customStyle="1" w:styleId="271">
    <w:name w:val="批注框文本 字符1"/>
    <w:qFormat/>
    <w:uiPriority w:val="99"/>
    <w:rPr>
      <w:rFonts w:ascii="Calibri" w:hAnsi="Calibri"/>
      <w:kern w:val="2"/>
      <w:sz w:val="18"/>
      <w:szCs w:val="18"/>
    </w:rPr>
  </w:style>
  <w:style w:type="character" w:customStyle="1" w:styleId="272">
    <w:name w:val="icon30-visitor-b"/>
    <w:qFormat/>
    <w:uiPriority w:val="0"/>
    <w:rPr>
      <w:sz w:val="24"/>
      <w:szCs w:val="20"/>
    </w:rPr>
  </w:style>
  <w:style w:type="character" w:customStyle="1" w:styleId="273">
    <w:name w:val="btn-load-bf17"/>
    <w:qFormat/>
    <w:uiPriority w:val="0"/>
    <w:rPr>
      <w:sz w:val="24"/>
      <w:szCs w:val="20"/>
      <w:bdr w:val="single" w:color="CCD4D9" w:sz="12" w:space="0"/>
    </w:rPr>
  </w:style>
  <w:style w:type="character" w:customStyle="1" w:styleId="274">
    <w:name w:val="font221"/>
    <w:qFormat/>
    <w:uiPriority w:val="0"/>
    <w:rPr>
      <w:rFonts w:hint="default" w:ascii="Times New Roman" w:hAnsi="Times New Roman" w:cs="Times New Roman"/>
      <w:color w:val="000000"/>
      <w:sz w:val="20"/>
      <w:szCs w:val="20"/>
      <w:u w:val="none"/>
      <w:vertAlign w:val="superscript"/>
    </w:rPr>
  </w:style>
  <w:style w:type="character" w:customStyle="1" w:styleId="275">
    <w:name w:val="17"/>
    <w:qFormat/>
    <w:uiPriority w:val="0"/>
    <w:rPr>
      <w:rFonts w:hint="eastAsia" w:ascii="楷体" w:hAnsi="楷体" w:eastAsia="楷体"/>
      <w:color w:val="FF0000"/>
      <w:sz w:val="24"/>
      <w:szCs w:val="24"/>
    </w:rPr>
  </w:style>
  <w:style w:type="character" w:customStyle="1" w:styleId="276">
    <w:name w:val="title-word-gw2"/>
    <w:qFormat/>
    <w:uiPriority w:val="0"/>
    <w:rPr>
      <w:sz w:val="18"/>
      <w:szCs w:val="18"/>
    </w:rPr>
  </w:style>
  <w:style w:type="character" w:customStyle="1" w:styleId="277">
    <w:name w:val="font41"/>
    <w:qFormat/>
    <w:uiPriority w:val="0"/>
    <w:rPr>
      <w:rFonts w:hint="default" w:ascii="Times New Roman" w:hAnsi="Times New Roman" w:cs="Times New Roman"/>
      <w:color w:val="000000"/>
      <w:sz w:val="21"/>
      <w:szCs w:val="21"/>
      <w:u w:val="none"/>
    </w:rPr>
  </w:style>
  <w:style w:type="character" w:customStyle="1" w:styleId="278">
    <w:name w:val="fontborder"/>
    <w:qFormat/>
    <w:uiPriority w:val="0"/>
    <w:rPr>
      <w:sz w:val="24"/>
      <w:szCs w:val="20"/>
      <w:bdr w:val="single" w:color="000000" w:sz="6" w:space="0"/>
    </w:rPr>
  </w:style>
  <w:style w:type="character" w:customStyle="1" w:styleId="279">
    <w:name w:val="18"/>
    <w:qFormat/>
    <w:uiPriority w:val="0"/>
    <w:rPr>
      <w:rFonts w:hint="eastAsia" w:ascii="宋体" w:hAnsi="宋体" w:eastAsia="宋体"/>
      <w:color w:val="000000"/>
      <w:sz w:val="24"/>
      <w:szCs w:val="24"/>
    </w:rPr>
  </w:style>
  <w:style w:type="character" w:customStyle="1" w:styleId="280">
    <w:name w:val="正文文本缩进 2 Char2"/>
    <w:basedOn w:val="44"/>
    <w:semiHidden/>
    <w:qFormat/>
    <w:uiPriority w:val="99"/>
  </w:style>
  <w:style w:type="character" w:customStyle="1" w:styleId="281">
    <w:name w:val="标题 8 字符1"/>
    <w:qFormat/>
    <w:uiPriority w:val="9"/>
    <w:rPr>
      <w:rFonts w:ascii="Arial" w:hAnsi="Arial" w:eastAsia="黑体" w:cs="Times New Roman"/>
      <w:sz w:val="24"/>
      <w:szCs w:val="21"/>
    </w:rPr>
  </w:style>
  <w:style w:type="character" w:customStyle="1" w:styleId="282">
    <w:name w:val="j表文字 Char Char"/>
    <w:link w:val="283"/>
    <w:qFormat/>
    <w:uiPriority w:val="0"/>
    <w:rPr>
      <w:szCs w:val="21"/>
    </w:rPr>
  </w:style>
  <w:style w:type="paragraph" w:customStyle="1" w:styleId="283">
    <w:name w:val="j表文字"/>
    <w:next w:val="1"/>
    <w:link w:val="282"/>
    <w:qFormat/>
    <w:uiPriority w:val="0"/>
    <w:pPr>
      <w:spacing w:line="260" w:lineRule="exact"/>
      <w:jc w:val="center"/>
      <w:textAlignment w:val="center"/>
    </w:pPr>
    <w:rPr>
      <w:rFonts w:asciiTheme="minorHAnsi" w:hAnsiTheme="minorHAnsi" w:eastAsiaTheme="minorEastAsia" w:cstheme="minorBidi"/>
      <w:kern w:val="2"/>
      <w:sz w:val="21"/>
      <w:szCs w:val="21"/>
      <w:lang w:val="en-US" w:eastAsia="zh-CN" w:bidi="ar-SA"/>
    </w:rPr>
  </w:style>
  <w:style w:type="character" w:customStyle="1" w:styleId="284">
    <w:name w:val="icon-qq-click-b1"/>
    <w:qFormat/>
    <w:uiPriority w:val="0"/>
    <w:rPr>
      <w:sz w:val="24"/>
      <w:szCs w:val="20"/>
    </w:rPr>
  </w:style>
  <w:style w:type="character" w:customStyle="1" w:styleId="285">
    <w:name w:val="标题 Char1"/>
    <w:qFormat/>
    <w:uiPriority w:val="10"/>
    <w:rPr>
      <w:rFonts w:ascii="Cambria" w:hAnsi="Cambria" w:cs="Times New Roman"/>
      <w:b/>
      <w:bCs/>
      <w:kern w:val="2"/>
      <w:sz w:val="32"/>
      <w:szCs w:val="32"/>
    </w:rPr>
  </w:style>
  <w:style w:type="character" w:customStyle="1" w:styleId="286">
    <w:name w:val="icon-sohu-cancel-b"/>
    <w:qFormat/>
    <w:uiPriority w:val="0"/>
    <w:rPr>
      <w:sz w:val="24"/>
      <w:szCs w:val="20"/>
    </w:rPr>
  </w:style>
  <w:style w:type="character" w:customStyle="1" w:styleId="287">
    <w:name w:val="bds_more2"/>
    <w:qFormat/>
    <w:uiPriority w:val="0"/>
    <w:rPr>
      <w:rFonts w:hint="eastAsia" w:ascii="宋体" w:hAnsi="宋体" w:eastAsia="宋体" w:cs="宋体"/>
    </w:rPr>
  </w:style>
  <w:style w:type="character" w:customStyle="1" w:styleId="288">
    <w:name w:val="标题2 Char"/>
    <w:link w:val="289"/>
    <w:qFormat/>
    <w:uiPriority w:val="0"/>
    <w:rPr>
      <w:rFonts w:eastAsia="黑体"/>
      <w:kern w:val="44"/>
      <w:sz w:val="28"/>
      <w:szCs w:val="32"/>
    </w:rPr>
  </w:style>
  <w:style w:type="paragraph" w:customStyle="1" w:styleId="289">
    <w:name w:val="标题2"/>
    <w:basedOn w:val="6"/>
    <w:link w:val="288"/>
    <w:qFormat/>
    <w:uiPriority w:val="0"/>
    <w:pPr>
      <w:tabs>
        <w:tab w:val="left" w:pos="113"/>
      </w:tabs>
      <w:spacing w:before="160" w:after="160" w:line="415" w:lineRule="auto"/>
      <w:ind w:left="6107" w:hanging="720"/>
    </w:pPr>
    <w:rPr>
      <w:rFonts w:eastAsia="黑体" w:asciiTheme="minorHAnsi" w:hAnsiTheme="minorHAnsi" w:cstheme="minorBidi"/>
      <w:b w:val="0"/>
      <w:bCs w:val="0"/>
      <w:kern w:val="44"/>
      <w:sz w:val="28"/>
    </w:rPr>
  </w:style>
  <w:style w:type="character" w:customStyle="1" w:styleId="290">
    <w:name w:val="hover26"/>
    <w:basedOn w:val="44"/>
    <w:qFormat/>
    <w:uiPriority w:val="0"/>
  </w:style>
  <w:style w:type="character" w:customStyle="1" w:styleId="291">
    <w:name w:val="文档结构图 字符2"/>
    <w:qFormat/>
    <w:uiPriority w:val="99"/>
    <w:rPr>
      <w:rFonts w:ascii="宋体" w:hAnsi="Times New Roman" w:eastAsia="宋体" w:cs="Times New Roman"/>
      <w:kern w:val="0"/>
      <w:sz w:val="18"/>
      <w:szCs w:val="18"/>
    </w:rPr>
  </w:style>
  <w:style w:type="character" w:customStyle="1" w:styleId="292">
    <w:name w:val="icon30-qq-b"/>
    <w:qFormat/>
    <w:uiPriority w:val="0"/>
    <w:rPr>
      <w:sz w:val="24"/>
      <w:szCs w:val="20"/>
    </w:rPr>
  </w:style>
  <w:style w:type="character" w:customStyle="1" w:styleId="293">
    <w:name w:val="标题 Char"/>
    <w:qFormat/>
    <w:uiPriority w:val="0"/>
    <w:rPr>
      <w:rFonts w:ascii="Cambria" w:hAnsi="Cambria" w:eastAsia="仿宋"/>
      <w:b/>
      <w:bCs/>
      <w:kern w:val="2"/>
      <w:sz w:val="32"/>
      <w:szCs w:val="32"/>
    </w:rPr>
  </w:style>
  <w:style w:type="character" w:customStyle="1" w:styleId="294">
    <w:name w:val="论文正文"/>
    <w:qFormat/>
    <w:uiPriority w:val="0"/>
    <w:rPr>
      <w:rFonts w:ascii="宋体" w:hAnsi="宋体" w:eastAsia="宋体" w:cs="Times New Roman"/>
      <w:kern w:val="0"/>
      <w:sz w:val="21"/>
    </w:rPr>
  </w:style>
  <w:style w:type="character" w:customStyle="1" w:styleId="295">
    <w:name w:val="icon-sohu-click-b1"/>
    <w:qFormat/>
    <w:uiPriority w:val="0"/>
    <w:rPr>
      <w:sz w:val="24"/>
      <w:szCs w:val="20"/>
    </w:rPr>
  </w:style>
  <w:style w:type="character" w:customStyle="1" w:styleId="296">
    <w:name w:val="页眉 字符2"/>
    <w:qFormat/>
    <w:uiPriority w:val="99"/>
    <w:rPr>
      <w:rFonts w:ascii="Times New Roman" w:hAnsi="Times New Roman" w:eastAsia="宋体" w:cs="Times New Roman"/>
      <w:sz w:val="18"/>
      <w:szCs w:val="18"/>
    </w:rPr>
  </w:style>
  <w:style w:type="character" w:customStyle="1" w:styleId="297">
    <w:name w:val="标题 2 字符2"/>
    <w:qFormat/>
    <w:uiPriority w:val="0"/>
    <w:rPr>
      <w:rFonts w:ascii="Times New Roman" w:hAnsi="Times New Roman" w:eastAsia="黑体" w:cs="Times New Roman"/>
      <w:b/>
      <w:bCs/>
      <w:kern w:val="0"/>
      <w:sz w:val="32"/>
      <w:szCs w:val="32"/>
    </w:rPr>
  </w:style>
  <w:style w:type="character" w:customStyle="1" w:styleId="298">
    <w:name w:val="btn-load-bf"/>
    <w:qFormat/>
    <w:uiPriority w:val="0"/>
    <w:rPr>
      <w:sz w:val="24"/>
      <w:szCs w:val="20"/>
    </w:rPr>
  </w:style>
  <w:style w:type="character" w:customStyle="1" w:styleId="299">
    <w:name w:val="icon-qq-cancel-b"/>
    <w:qFormat/>
    <w:uiPriority w:val="0"/>
    <w:rPr>
      <w:sz w:val="24"/>
      <w:szCs w:val="20"/>
    </w:rPr>
  </w:style>
  <w:style w:type="character" w:customStyle="1" w:styleId="300">
    <w:name w:val="polysemyred"/>
    <w:qFormat/>
    <w:uiPriority w:val="0"/>
    <w:rPr>
      <w:color w:val="FF6666"/>
      <w:sz w:val="18"/>
      <w:szCs w:val="18"/>
    </w:rPr>
  </w:style>
  <w:style w:type="character" w:customStyle="1" w:styleId="301">
    <w:name w:val="btn-fw7"/>
    <w:qFormat/>
    <w:uiPriority w:val="0"/>
    <w:rPr>
      <w:sz w:val="24"/>
      <w:szCs w:val="20"/>
    </w:rPr>
  </w:style>
  <w:style w:type="character" w:customStyle="1" w:styleId="302">
    <w:name w:val="公式 Char Char"/>
    <w:link w:val="303"/>
    <w:qFormat/>
    <w:uiPriority w:val="0"/>
  </w:style>
  <w:style w:type="paragraph" w:customStyle="1" w:styleId="303">
    <w:name w:val="公式"/>
    <w:basedOn w:val="1"/>
    <w:link w:val="302"/>
    <w:qFormat/>
    <w:uiPriority w:val="0"/>
    <w:pPr>
      <w:widowControl/>
      <w:spacing w:line="360" w:lineRule="auto"/>
      <w:jc w:val="center"/>
    </w:pPr>
  </w:style>
  <w:style w:type="character" w:customStyle="1" w:styleId="304">
    <w:name w:val="clgray"/>
    <w:qFormat/>
    <w:uiPriority w:val="0"/>
    <w:rPr>
      <w:sz w:val="24"/>
      <w:szCs w:val="20"/>
    </w:rPr>
  </w:style>
  <w:style w:type="character" w:customStyle="1" w:styleId="305">
    <w:name w:val="datetime2"/>
    <w:qFormat/>
    <w:uiPriority w:val="0"/>
  </w:style>
  <w:style w:type="character" w:customStyle="1" w:styleId="306">
    <w:name w:val="页眉 Char2"/>
    <w:basedOn w:val="44"/>
    <w:semiHidden/>
    <w:qFormat/>
    <w:uiPriority w:val="99"/>
    <w:rPr>
      <w:sz w:val="18"/>
      <w:szCs w:val="18"/>
    </w:rPr>
  </w:style>
  <w:style w:type="character" w:customStyle="1" w:styleId="307">
    <w:name w:val="plus"/>
    <w:qFormat/>
    <w:uiPriority w:val="0"/>
    <w:rPr>
      <w:b/>
      <w:vanish/>
      <w:color w:val="1F8DEF"/>
      <w:sz w:val="24"/>
      <w:szCs w:val="24"/>
    </w:rPr>
  </w:style>
  <w:style w:type="character" w:customStyle="1" w:styleId="308">
    <w:name w:val="icon-sohu-b1"/>
    <w:qFormat/>
    <w:uiPriority w:val="0"/>
    <w:rPr>
      <w:sz w:val="24"/>
      <w:szCs w:val="20"/>
    </w:rPr>
  </w:style>
  <w:style w:type="character" w:customStyle="1" w:styleId="309">
    <w:name w:val="标题 4 字符1"/>
    <w:qFormat/>
    <w:uiPriority w:val="9"/>
    <w:rPr>
      <w:rFonts w:ascii="Calibri Light" w:hAnsi="Calibri Light"/>
      <w:b/>
      <w:bCs/>
      <w:kern w:val="2"/>
      <w:sz w:val="24"/>
      <w:szCs w:val="28"/>
    </w:rPr>
  </w:style>
  <w:style w:type="character" w:customStyle="1" w:styleId="310">
    <w:name w:val="标题 9 字符1"/>
    <w:qFormat/>
    <w:uiPriority w:val="9"/>
    <w:rPr>
      <w:rFonts w:ascii="Arial" w:hAnsi="Arial" w:eastAsia="黑体" w:cs="Times New Roman"/>
      <w:sz w:val="24"/>
      <w:szCs w:val="21"/>
    </w:rPr>
  </w:style>
  <w:style w:type="character" w:customStyle="1" w:styleId="311">
    <w:name w:val="icon-qq-b2"/>
    <w:qFormat/>
    <w:uiPriority w:val="0"/>
    <w:rPr>
      <w:sz w:val="24"/>
      <w:szCs w:val="20"/>
    </w:rPr>
  </w:style>
  <w:style w:type="character" w:customStyle="1" w:styleId="312">
    <w:name w:val="yrr表  - 样式2 Char"/>
    <w:link w:val="313"/>
    <w:qFormat/>
    <w:uiPriority w:val="0"/>
    <w:rPr>
      <w:rFonts w:eastAsia="黑体"/>
      <w:szCs w:val="24"/>
    </w:rPr>
  </w:style>
  <w:style w:type="paragraph" w:customStyle="1" w:styleId="313">
    <w:name w:val="yrr表  - 样式2"/>
    <w:basedOn w:val="227"/>
    <w:link w:val="312"/>
    <w:qFormat/>
    <w:uiPriority w:val="0"/>
    <w:pPr>
      <w:spacing w:beforeLines="0"/>
    </w:pPr>
    <w:rPr>
      <w:rFonts w:asciiTheme="minorHAnsi" w:hAnsiTheme="minorHAnsi"/>
      <w:sz w:val="21"/>
    </w:rPr>
  </w:style>
  <w:style w:type="character" w:customStyle="1" w:styleId="314">
    <w:name w:val="icon30-sohu-b1"/>
    <w:qFormat/>
    <w:uiPriority w:val="0"/>
    <w:rPr>
      <w:sz w:val="24"/>
      <w:szCs w:val="20"/>
    </w:rPr>
  </w:style>
  <w:style w:type="character" w:customStyle="1" w:styleId="315">
    <w:name w:val="font191"/>
    <w:qFormat/>
    <w:uiPriority w:val="0"/>
    <w:rPr>
      <w:rFonts w:hint="default" w:ascii="Times New Roman" w:hAnsi="Times New Roman" w:cs="Times New Roman"/>
      <w:color w:val="000000"/>
      <w:sz w:val="20"/>
      <w:szCs w:val="20"/>
      <w:u w:val="none"/>
    </w:rPr>
  </w:style>
  <w:style w:type="character" w:customStyle="1" w:styleId="316">
    <w:name w:val="font211"/>
    <w:qFormat/>
    <w:uiPriority w:val="0"/>
    <w:rPr>
      <w:rFonts w:hint="default" w:ascii="Times New Roman" w:hAnsi="Times New Roman" w:cs="Times New Roman"/>
      <w:b/>
      <w:color w:val="000000"/>
      <w:sz w:val="21"/>
      <w:szCs w:val="21"/>
      <w:u w:val="none"/>
    </w:rPr>
  </w:style>
  <w:style w:type="character" w:customStyle="1" w:styleId="317">
    <w:name w:val="批注主题 字符1"/>
    <w:qFormat/>
    <w:uiPriority w:val="99"/>
    <w:rPr>
      <w:rFonts w:ascii="Calibri" w:hAnsi="Calibri"/>
      <w:b/>
      <w:bCs/>
      <w:kern w:val="2"/>
      <w:sz w:val="24"/>
    </w:rPr>
  </w:style>
  <w:style w:type="character" w:customStyle="1" w:styleId="318">
    <w:name w:val="icon-qq-cancel-b2"/>
    <w:qFormat/>
    <w:uiPriority w:val="0"/>
    <w:rPr>
      <w:sz w:val="24"/>
      <w:szCs w:val="20"/>
    </w:rPr>
  </w:style>
  <w:style w:type="character" w:customStyle="1" w:styleId="319">
    <w:name w:val="纯文本 字符1"/>
    <w:qFormat/>
    <w:uiPriority w:val="0"/>
    <w:rPr>
      <w:rFonts w:ascii="宋体" w:hAnsi="Courier New"/>
    </w:rPr>
  </w:style>
  <w:style w:type="character" w:customStyle="1" w:styleId="320">
    <w:name w:val="bds_nopic2"/>
    <w:basedOn w:val="44"/>
    <w:qFormat/>
    <w:uiPriority w:val="0"/>
  </w:style>
  <w:style w:type="character" w:customStyle="1" w:styleId="321">
    <w:name w:val="account"/>
    <w:qFormat/>
    <w:uiPriority w:val="0"/>
    <w:rPr>
      <w:sz w:val="24"/>
      <w:szCs w:val="20"/>
    </w:rPr>
  </w:style>
  <w:style w:type="character" w:customStyle="1" w:styleId="322">
    <w:name w:val="批注框文本 Char1"/>
    <w:basedOn w:val="44"/>
    <w:semiHidden/>
    <w:qFormat/>
    <w:uiPriority w:val="99"/>
    <w:rPr>
      <w:sz w:val="18"/>
      <w:szCs w:val="18"/>
    </w:rPr>
  </w:style>
  <w:style w:type="character" w:customStyle="1" w:styleId="323">
    <w:name w:val="lemmatitleh12"/>
    <w:qFormat/>
    <w:uiPriority w:val="0"/>
    <w:rPr>
      <w:sz w:val="24"/>
      <w:szCs w:val="20"/>
    </w:rPr>
  </w:style>
  <w:style w:type="character" w:customStyle="1" w:styleId="324">
    <w:name w:val="font131"/>
    <w:qFormat/>
    <w:uiPriority w:val="0"/>
    <w:rPr>
      <w:rFonts w:hint="default" w:ascii="Times New Roman" w:hAnsi="Times New Roman" w:cs="Times New Roman"/>
      <w:color w:val="000000"/>
      <w:sz w:val="20"/>
      <w:szCs w:val="20"/>
      <w:u w:val="none"/>
    </w:rPr>
  </w:style>
  <w:style w:type="character" w:customStyle="1" w:styleId="325">
    <w:name w:val="文档结构图 字符1"/>
    <w:qFormat/>
    <w:uiPriority w:val="99"/>
    <w:rPr>
      <w:rFonts w:ascii="Microsoft YaHei UI" w:hAnsi="Calibri" w:eastAsia="Microsoft YaHei UI"/>
      <w:kern w:val="2"/>
      <w:sz w:val="18"/>
      <w:szCs w:val="18"/>
    </w:rPr>
  </w:style>
  <w:style w:type="character" w:customStyle="1" w:styleId="326">
    <w:name w:val="icon-renren-cancel-b2"/>
    <w:qFormat/>
    <w:uiPriority w:val="0"/>
    <w:rPr>
      <w:sz w:val="24"/>
      <w:szCs w:val="20"/>
    </w:rPr>
  </w:style>
  <w:style w:type="character" w:customStyle="1" w:styleId="327">
    <w:name w:val="题注 Char"/>
    <w:qFormat/>
    <w:uiPriority w:val="0"/>
    <w:rPr>
      <w:rFonts w:ascii="Arial" w:hAnsi="Arial" w:eastAsia="黑体"/>
      <w:kern w:val="2"/>
      <w:szCs w:val="22"/>
    </w:rPr>
  </w:style>
  <w:style w:type="character" w:customStyle="1" w:styleId="328">
    <w:name w:val="图片 Char Char"/>
    <w:link w:val="329"/>
    <w:qFormat/>
    <w:uiPriority w:val="0"/>
    <w:rPr>
      <w:rFonts w:ascii="Times New Roman" w:hAnsi="Times New Roman" w:eastAsia="黑体"/>
      <w:sz w:val="22"/>
    </w:rPr>
  </w:style>
  <w:style w:type="paragraph" w:customStyle="1" w:styleId="329">
    <w:name w:val="图片"/>
    <w:basedOn w:val="1"/>
    <w:link w:val="328"/>
    <w:qFormat/>
    <w:uiPriority w:val="0"/>
    <w:pPr>
      <w:spacing w:beforeLines="50" w:afterLines="100"/>
    </w:pPr>
    <w:rPr>
      <w:rFonts w:ascii="Times New Roman" w:hAnsi="Times New Roman" w:eastAsia="黑体"/>
      <w:sz w:val="22"/>
    </w:rPr>
  </w:style>
  <w:style w:type="character" w:customStyle="1" w:styleId="330">
    <w:name w:val="文本块 字符"/>
    <w:link w:val="20"/>
    <w:qFormat/>
    <w:uiPriority w:val="0"/>
    <w:rPr>
      <w:rFonts w:ascii="Times New Roman" w:hAnsi="Times New Roman"/>
      <w:sz w:val="32"/>
      <w:szCs w:val="24"/>
    </w:rPr>
  </w:style>
  <w:style w:type="character" w:customStyle="1" w:styleId="331">
    <w:name w:val="icon-renren-b"/>
    <w:qFormat/>
    <w:uiPriority w:val="0"/>
    <w:rPr>
      <w:sz w:val="24"/>
      <w:szCs w:val="20"/>
    </w:rPr>
  </w:style>
  <w:style w:type="character" w:customStyle="1" w:styleId="332">
    <w:name w:val="bds_more9"/>
    <w:qFormat/>
    <w:uiPriority w:val="0"/>
    <w:rPr>
      <w:sz w:val="24"/>
      <w:szCs w:val="20"/>
    </w:rPr>
  </w:style>
  <w:style w:type="character" w:customStyle="1" w:styleId="333">
    <w:name w:val="脚注文本 字符2"/>
    <w:qFormat/>
    <w:uiPriority w:val="99"/>
    <w:rPr>
      <w:rFonts w:ascii="Calibri" w:hAnsi="Calibri" w:eastAsia="宋体" w:cs="Times New Roman"/>
      <w:kern w:val="0"/>
      <w:sz w:val="18"/>
      <w:szCs w:val="18"/>
    </w:rPr>
  </w:style>
  <w:style w:type="character" w:customStyle="1" w:styleId="334">
    <w:name w:val="icon30-qq-b1"/>
    <w:qFormat/>
    <w:uiPriority w:val="0"/>
    <w:rPr>
      <w:sz w:val="24"/>
      <w:szCs w:val="20"/>
    </w:rPr>
  </w:style>
  <w:style w:type="character" w:customStyle="1" w:styleId="335">
    <w:name w:val="纯文本 字符2"/>
    <w:qFormat/>
    <w:uiPriority w:val="99"/>
    <w:rPr>
      <w:rFonts w:ascii="宋体" w:hAnsi="Courier New" w:cs="Courier New"/>
      <w:kern w:val="2"/>
      <w:sz w:val="21"/>
      <w:szCs w:val="21"/>
    </w:rPr>
  </w:style>
  <w:style w:type="character" w:customStyle="1" w:styleId="336">
    <w:name w:val="btn-fw1"/>
    <w:qFormat/>
    <w:uiPriority w:val="0"/>
    <w:rPr>
      <w:sz w:val="24"/>
      <w:szCs w:val="20"/>
    </w:rPr>
  </w:style>
  <w:style w:type="character" w:customStyle="1" w:styleId="337">
    <w:name w:val="副标题 字符1"/>
    <w:qFormat/>
    <w:uiPriority w:val="11"/>
    <w:rPr>
      <w:rFonts w:ascii="等线 Light" w:hAnsi="等线 Light" w:cs="Times New Roman"/>
      <w:b/>
      <w:bCs/>
      <w:kern w:val="28"/>
      <w:sz w:val="32"/>
      <w:szCs w:val="32"/>
    </w:rPr>
  </w:style>
  <w:style w:type="character" w:customStyle="1" w:styleId="338">
    <w:name w:val="正文文本缩进 字符2"/>
    <w:qFormat/>
    <w:uiPriority w:val="99"/>
    <w:rPr>
      <w:rFonts w:ascii="Times New Roman" w:hAnsi="Times New Roman" w:eastAsia="宋体" w:cs="Times New Roman"/>
    </w:rPr>
  </w:style>
  <w:style w:type="character" w:customStyle="1" w:styleId="339">
    <w:name w:val="bds_nopic1"/>
    <w:basedOn w:val="44"/>
    <w:qFormat/>
    <w:uiPriority w:val="0"/>
  </w:style>
  <w:style w:type="character" w:customStyle="1" w:styleId="340">
    <w:name w:val="icon-sohu-b"/>
    <w:qFormat/>
    <w:uiPriority w:val="0"/>
    <w:rPr>
      <w:sz w:val="24"/>
      <w:szCs w:val="20"/>
    </w:rPr>
  </w:style>
  <w:style w:type="character" w:customStyle="1" w:styleId="341">
    <w:name w:val="font112"/>
    <w:qFormat/>
    <w:uiPriority w:val="0"/>
    <w:rPr>
      <w:rFonts w:hint="default" w:ascii="Times New Roman" w:hAnsi="Times New Roman" w:cs="Times New Roman"/>
      <w:color w:val="000000"/>
      <w:sz w:val="20"/>
      <w:szCs w:val="20"/>
      <w:u w:val="none"/>
    </w:rPr>
  </w:style>
  <w:style w:type="character" w:customStyle="1" w:styleId="342">
    <w:name w:val="icon-sina-b2"/>
    <w:qFormat/>
    <w:uiPriority w:val="0"/>
    <w:rPr>
      <w:sz w:val="24"/>
      <w:szCs w:val="20"/>
    </w:rPr>
  </w:style>
  <w:style w:type="character" w:customStyle="1" w:styleId="343">
    <w:name w:val="icon-sina-b1"/>
    <w:qFormat/>
    <w:uiPriority w:val="0"/>
    <w:rPr>
      <w:sz w:val="24"/>
      <w:szCs w:val="20"/>
    </w:rPr>
  </w:style>
  <w:style w:type="character" w:customStyle="1" w:styleId="344">
    <w:name w:val="副标题 字符2"/>
    <w:qFormat/>
    <w:uiPriority w:val="11"/>
    <w:rPr>
      <w:rFonts w:ascii="Cambria" w:hAnsi="Cambria" w:eastAsia="宋体" w:cs="Times New Roman"/>
      <w:b/>
      <w:bCs/>
      <w:kern w:val="28"/>
      <w:sz w:val="32"/>
      <w:szCs w:val="32"/>
    </w:rPr>
  </w:style>
  <w:style w:type="character" w:customStyle="1" w:styleId="345">
    <w:name w:val="15"/>
    <w:qFormat/>
    <w:uiPriority w:val="0"/>
    <w:rPr>
      <w:rFonts w:hint="eastAsia" w:ascii="楷体" w:hAnsi="楷体" w:eastAsia="楷体"/>
      <w:color w:val="000000"/>
      <w:sz w:val="24"/>
      <w:szCs w:val="24"/>
    </w:rPr>
  </w:style>
  <w:style w:type="character" w:customStyle="1" w:styleId="346">
    <w:name w:val="font161"/>
    <w:qFormat/>
    <w:uiPriority w:val="0"/>
    <w:rPr>
      <w:rFonts w:hint="default" w:ascii="Times New Roman" w:hAnsi="Times New Roman" w:cs="Times New Roman"/>
      <w:color w:val="000000"/>
      <w:sz w:val="20"/>
      <w:szCs w:val="20"/>
      <w:u w:val="none"/>
    </w:rPr>
  </w:style>
  <w:style w:type="character" w:customStyle="1" w:styleId="347">
    <w:name w:val="标题 6 字符1"/>
    <w:qFormat/>
    <w:uiPriority w:val="9"/>
    <w:rPr>
      <w:rFonts w:ascii="Cambria" w:hAnsi="Cambria" w:eastAsia="仿宋_GB2312" w:cs="Times New Roman"/>
      <w:b/>
      <w:bCs/>
      <w:sz w:val="24"/>
      <w:szCs w:val="24"/>
    </w:rPr>
  </w:style>
  <w:style w:type="character" w:customStyle="1" w:styleId="348">
    <w:name w:val="btn-fw"/>
    <w:qFormat/>
    <w:uiPriority w:val="0"/>
    <w:rPr>
      <w:sz w:val="24"/>
      <w:szCs w:val="20"/>
    </w:rPr>
  </w:style>
  <w:style w:type="character" w:customStyle="1" w:styleId="349">
    <w:name w:val="datetime"/>
    <w:qFormat/>
    <w:uiPriority w:val="0"/>
  </w:style>
  <w:style w:type="character" w:customStyle="1" w:styleId="350">
    <w:name w:val="标题 Char3"/>
    <w:basedOn w:val="44"/>
    <w:qFormat/>
    <w:uiPriority w:val="10"/>
    <w:rPr>
      <w:rFonts w:eastAsia="宋体" w:asciiTheme="majorHAnsi" w:hAnsiTheme="majorHAnsi" w:cstheme="majorBidi"/>
      <w:b/>
      <w:bCs/>
      <w:sz w:val="32"/>
      <w:szCs w:val="32"/>
    </w:rPr>
  </w:style>
  <w:style w:type="character" w:customStyle="1" w:styleId="351">
    <w:name w:val="detpname"/>
    <w:qFormat/>
    <w:uiPriority w:val="0"/>
    <w:rPr>
      <w:color w:val="A00101"/>
      <w:sz w:val="24"/>
      <w:szCs w:val="20"/>
    </w:rPr>
  </w:style>
  <w:style w:type="character" w:customStyle="1" w:styleId="352">
    <w:name w:val="disabled"/>
    <w:qFormat/>
    <w:uiPriority w:val="0"/>
    <w:rPr>
      <w:color w:val="DDDDDD"/>
      <w:bdr w:val="single" w:color="EEEEEE" w:sz="6" w:space="0"/>
    </w:rPr>
  </w:style>
  <w:style w:type="character" w:customStyle="1" w:styleId="353">
    <w:name w:val="bds_more4"/>
    <w:qFormat/>
    <w:uiPriority w:val="0"/>
    <w:rPr>
      <w:sz w:val="24"/>
      <w:szCs w:val="20"/>
    </w:rPr>
  </w:style>
  <w:style w:type="character" w:customStyle="1" w:styleId="354">
    <w:name w:val="icon-qq-click-b"/>
    <w:qFormat/>
    <w:uiPriority w:val="0"/>
    <w:rPr>
      <w:sz w:val="24"/>
      <w:szCs w:val="20"/>
    </w:rPr>
  </w:style>
  <w:style w:type="character" w:customStyle="1" w:styleId="355">
    <w:name w:val="more"/>
    <w:qFormat/>
    <w:uiPriority w:val="0"/>
    <w:rPr>
      <w:sz w:val="24"/>
      <w:szCs w:val="20"/>
    </w:rPr>
  </w:style>
  <w:style w:type="character" w:customStyle="1" w:styleId="356">
    <w:name w:val="font01"/>
    <w:qFormat/>
    <w:uiPriority w:val="0"/>
    <w:rPr>
      <w:rFonts w:hint="eastAsia" w:ascii="宋体" w:hAnsi="宋体" w:eastAsia="宋体" w:cs="宋体"/>
      <w:color w:val="000000"/>
      <w:sz w:val="18"/>
      <w:szCs w:val="18"/>
      <w:u w:val="none"/>
    </w:rPr>
  </w:style>
  <w:style w:type="character" w:customStyle="1" w:styleId="357">
    <w:name w:val="标题 1 字符2"/>
    <w:qFormat/>
    <w:uiPriority w:val="0"/>
    <w:rPr>
      <w:rFonts w:ascii="Times New Roman" w:hAnsi="Times New Roman" w:eastAsia="宋体" w:cs="Times New Roman"/>
      <w:b/>
      <w:bCs/>
      <w:kern w:val="44"/>
      <w:sz w:val="44"/>
      <w:szCs w:val="44"/>
    </w:rPr>
  </w:style>
  <w:style w:type="character" w:customStyle="1" w:styleId="358">
    <w:name w:val="icon-sohu-cancel-b2"/>
    <w:qFormat/>
    <w:uiPriority w:val="0"/>
    <w:rPr>
      <w:sz w:val="24"/>
      <w:szCs w:val="20"/>
    </w:rPr>
  </w:style>
  <w:style w:type="character" w:customStyle="1" w:styleId="359">
    <w:name w:val="wrap-join-b"/>
    <w:qFormat/>
    <w:uiPriority w:val="0"/>
    <w:rPr>
      <w:color w:val="333333"/>
      <w:sz w:val="24"/>
      <w:szCs w:val="20"/>
    </w:rPr>
  </w:style>
  <w:style w:type="character" w:customStyle="1" w:styleId="360">
    <w:name w:val="icon-renren-b2"/>
    <w:qFormat/>
    <w:uiPriority w:val="0"/>
    <w:rPr>
      <w:sz w:val="24"/>
      <w:szCs w:val="20"/>
    </w:rPr>
  </w:style>
  <w:style w:type="character" w:customStyle="1" w:styleId="361">
    <w:name w:val="批注主题 Char2"/>
    <w:basedOn w:val="189"/>
    <w:semiHidden/>
    <w:qFormat/>
    <w:uiPriority w:val="99"/>
    <w:rPr>
      <w:b/>
      <w:bCs/>
    </w:rPr>
  </w:style>
  <w:style w:type="character" w:customStyle="1" w:styleId="362">
    <w:name w:val="bsharetext"/>
    <w:qFormat/>
    <w:uiPriority w:val="0"/>
    <w:rPr>
      <w:sz w:val="24"/>
      <w:szCs w:val="20"/>
    </w:rPr>
  </w:style>
  <w:style w:type="character" w:customStyle="1" w:styleId="363">
    <w:name w:val="标题 3 字符2"/>
    <w:qFormat/>
    <w:uiPriority w:val="0"/>
    <w:rPr>
      <w:rFonts w:ascii="Times New Roman" w:hAnsi="Times New Roman" w:eastAsia="宋体" w:cs="Times New Roman"/>
      <w:b/>
      <w:bCs/>
      <w:sz w:val="32"/>
      <w:szCs w:val="32"/>
    </w:rPr>
  </w:style>
  <w:style w:type="character" w:customStyle="1" w:styleId="364">
    <w:name w:val="icon-sohu-cancel-b1"/>
    <w:qFormat/>
    <w:uiPriority w:val="0"/>
    <w:rPr>
      <w:sz w:val="24"/>
      <w:szCs w:val="20"/>
    </w:rPr>
  </w:style>
  <w:style w:type="character" w:customStyle="1" w:styleId="365">
    <w:name w:val="10"/>
    <w:qFormat/>
    <w:uiPriority w:val="0"/>
    <w:rPr>
      <w:rFonts w:hint="default" w:ascii="Times New Roman" w:hAnsi="Times New Roman" w:cs="Times New Roman"/>
    </w:rPr>
  </w:style>
  <w:style w:type="character" w:customStyle="1" w:styleId="366">
    <w:name w:val="font91"/>
    <w:qFormat/>
    <w:uiPriority w:val="0"/>
    <w:rPr>
      <w:rFonts w:hint="eastAsia" w:ascii="宋体" w:hAnsi="宋体" w:eastAsia="宋体" w:cs="宋体"/>
      <w:color w:val="000000"/>
      <w:sz w:val="20"/>
      <w:szCs w:val="20"/>
      <w:u w:val="none"/>
    </w:rPr>
  </w:style>
  <w:style w:type="character" w:customStyle="1" w:styleId="367">
    <w:name w:val="标题 字符2"/>
    <w:qFormat/>
    <w:uiPriority w:val="10"/>
    <w:rPr>
      <w:rFonts w:ascii="等线 Light" w:hAnsi="等线 Light" w:cs="Times New Roman"/>
      <w:b/>
      <w:bCs/>
      <w:kern w:val="2"/>
      <w:sz w:val="32"/>
      <w:szCs w:val="32"/>
    </w:rPr>
  </w:style>
  <w:style w:type="character" w:customStyle="1" w:styleId="368">
    <w:name w:val="hover"/>
    <w:basedOn w:val="44"/>
    <w:qFormat/>
    <w:uiPriority w:val="0"/>
  </w:style>
  <w:style w:type="character" w:customStyle="1" w:styleId="369">
    <w:name w:val="bds_more"/>
    <w:qFormat/>
    <w:uiPriority w:val="0"/>
  </w:style>
  <w:style w:type="character" w:customStyle="1" w:styleId="370">
    <w:name w:val="未处理的提及11"/>
    <w:unhideWhenUsed/>
    <w:qFormat/>
    <w:uiPriority w:val="99"/>
    <w:rPr>
      <w:color w:val="808080"/>
      <w:shd w:val="clear" w:color="auto" w:fill="E6E6E6"/>
    </w:rPr>
  </w:style>
  <w:style w:type="character" w:customStyle="1" w:styleId="371">
    <w:name w:val="sidecatalog-index1"/>
    <w:qFormat/>
    <w:uiPriority w:val="0"/>
    <w:rPr>
      <w:rFonts w:ascii="Arial" w:hAnsi="Arial" w:cs="Arial"/>
      <w:b/>
      <w:color w:val="999999"/>
      <w:sz w:val="21"/>
      <w:szCs w:val="21"/>
    </w:rPr>
  </w:style>
  <w:style w:type="character" w:customStyle="1" w:styleId="372">
    <w:name w:val="标题 5 字符1"/>
    <w:qFormat/>
    <w:uiPriority w:val="9"/>
    <w:rPr>
      <w:rFonts w:ascii="Times New Roman" w:hAnsi="Times New Roman" w:eastAsia="宋体" w:cs="Times New Roman"/>
      <w:b/>
      <w:sz w:val="28"/>
    </w:rPr>
  </w:style>
  <w:style w:type="character" w:customStyle="1" w:styleId="373">
    <w:name w:val="表格 Char Char"/>
    <w:link w:val="374"/>
    <w:qFormat/>
    <w:uiPriority w:val="0"/>
    <w:rPr>
      <w:rFonts w:ascii="Times New Roman" w:hAnsi="Times New Roman" w:eastAsia="黑体"/>
      <w:sz w:val="22"/>
    </w:rPr>
  </w:style>
  <w:style w:type="paragraph" w:customStyle="1" w:styleId="374">
    <w:name w:val="表格"/>
    <w:basedOn w:val="15"/>
    <w:link w:val="373"/>
    <w:qFormat/>
    <w:uiPriority w:val="0"/>
    <w:pPr>
      <w:spacing w:beforeLines="50"/>
    </w:pPr>
    <w:rPr>
      <w:rFonts w:ascii="Times New Roman" w:hAnsi="Times New Roman"/>
      <w:sz w:val="22"/>
    </w:rPr>
  </w:style>
  <w:style w:type="character" w:customStyle="1" w:styleId="375">
    <w:name w:val="标题 字符1"/>
    <w:qFormat/>
    <w:uiPriority w:val="10"/>
    <w:rPr>
      <w:rFonts w:ascii="Calibri Light" w:hAnsi="Calibri Light"/>
      <w:b/>
      <w:bCs/>
      <w:sz w:val="36"/>
      <w:szCs w:val="32"/>
    </w:rPr>
  </w:style>
  <w:style w:type="character" w:customStyle="1" w:styleId="376">
    <w:name w:val="ds-unread-count"/>
    <w:qFormat/>
    <w:uiPriority w:val="0"/>
    <w:rPr>
      <w:b/>
      <w:color w:val="EE3322"/>
    </w:rPr>
  </w:style>
  <w:style w:type="character" w:customStyle="1" w:styleId="377">
    <w:name w:val="正文文本 字符1"/>
    <w:qFormat/>
    <w:uiPriority w:val="99"/>
    <w:rPr>
      <w:rFonts w:ascii="Calibri" w:hAnsi="Calibri"/>
      <w:kern w:val="2"/>
      <w:sz w:val="24"/>
    </w:rPr>
  </w:style>
  <w:style w:type="character" w:customStyle="1" w:styleId="378">
    <w:name w:val="icon-sohu-b2"/>
    <w:qFormat/>
    <w:uiPriority w:val="0"/>
    <w:rPr>
      <w:sz w:val="24"/>
      <w:szCs w:val="20"/>
    </w:rPr>
  </w:style>
  <w:style w:type="character" w:customStyle="1" w:styleId="379">
    <w:name w:val="脚注文本 字符1"/>
    <w:qFormat/>
    <w:uiPriority w:val="99"/>
    <w:rPr>
      <w:rFonts w:ascii="Calibri" w:hAnsi="Calibri"/>
      <w:kern w:val="2"/>
      <w:sz w:val="18"/>
      <w:szCs w:val="18"/>
    </w:rPr>
  </w:style>
  <w:style w:type="character" w:customStyle="1" w:styleId="380">
    <w:name w:val="16"/>
    <w:qFormat/>
    <w:uiPriority w:val="0"/>
    <w:rPr>
      <w:rFonts w:hint="eastAsia" w:ascii="宋体" w:hAnsi="宋体" w:eastAsia="宋体"/>
      <w:color w:val="000000"/>
      <w:sz w:val="24"/>
      <w:szCs w:val="24"/>
    </w:rPr>
  </w:style>
  <w:style w:type="character" w:customStyle="1" w:styleId="381">
    <w:name w:val="标题 4 字符2"/>
    <w:qFormat/>
    <w:uiPriority w:val="9"/>
    <w:rPr>
      <w:rFonts w:ascii="Cambria" w:hAnsi="Cambria" w:eastAsia="宋体" w:cs="Times New Roman"/>
      <w:b/>
      <w:bCs/>
      <w:sz w:val="28"/>
      <w:szCs w:val="28"/>
    </w:rPr>
  </w:style>
  <w:style w:type="character" w:customStyle="1" w:styleId="382">
    <w:name w:val="正文1 Char Char"/>
    <w:link w:val="383"/>
    <w:qFormat/>
    <w:uiPriority w:val="0"/>
    <w:rPr>
      <w:rFonts w:ascii="仿宋" w:hAnsi="仿宋" w:eastAsia="仿宋"/>
      <w:sz w:val="24"/>
      <w:szCs w:val="28"/>
    </w:rPr>
  </w:style>
  <w:style w:type="paragraph" w:customStyle="1" w:styleId="383">
    <w:name w:val="正文1"/>
    <w:basedOn w:val="1"/>
    <w:link w:val="382"/>
    <w:qFormat/>
    <w:uiPriority w:val="0"/>
    <w:pPr>
      <w:spacing w:line="360" w:lineRule="auto"/>
      <w:ind w:firstLine="480" w:firstLineChars="200"/>
      <w:jc w:val="left"/>
    </w:pPr>
    <w:rPr>
      <w:rFonts w:ascii="仿宋" w:hAnsi="仿宋" w:eastAsia="仿宋"/>
      <w:sz w:val="24"/>
      <w:szCs w:val="28"/>
    </w:rPr>
  </w:style>
  <w:style w:type="character" w:customStyle="1" w:styleId="384">
    <w:name w:val="sidecatalog-dot1"/>
    <w:qFormat/>
    <w:uiPriority w:val="0"/>
    <w:rPr>
      <w:sz w:val="24"/>
      <w:szCs w:val="20"/>
    </w:rPr>
  </w:style>
  <w:style w:type="character" w:customStyle="1" w:styleId="385">
    <w:name w:val="icon-qzone-b1"/>
    <w:qFormat/>
    <w:uiPriority w:val="0"/>
    <w:rPr>
      <w:sz w:val="24"/>
      <w:szCs w:val="20"/>
    </w:rPr>
  </w:style>
  <w:style w:type="character" w:customStyle="1" w:styleId="386">
    <w:name w:val="btn-load-bf15"/>
    <w:qFormat/>
    <w:uiPriority w:val="0"/>
    <w:rPr>
      <w:sz w:val="24"/>
      <w:szCs w:val="20"/>
    </w:rPr>
  </w:style>
  <w:style w:type="character" w:customStyle="1" w:styleId="387">
    <w:name w:val="hover58"/>
    <w:basedOn w:val="44"/>
    <w:qFormat/>
    <w:uiPriority w:val="0"/>
  </w:style>
  <w:style w:type="character" w:customStyle="1" w:styleId="388">
    <w:name w:val="批注主题 字符2"/>
    <w:qFormat/>
    <w:uiPriority w:val="0"/>
    <w:rPr>
      <w:rFonts w:ascii="Times New Roman" w:hAnsi="Times New Roman" w:eastAsia="宋体" w:cs="Times New Roman"/>
      <w:b/>
      <w:bCs/>
      <w:szCs w:val="24"/>
    </w:rPr>
  </w:style>
  <w:style w:type="character" w:customStyle="1" w:styleId="389">
    <w:name w:val="bds_more3"/>
    <w:qFormat/>
    <w:uiPriority w:val="0"/>
    <w:rPr>
      <w:sz w:val="24"/>
      <w:szCs w:val="20"/>
    </w:rPr>
  </w:style>
  <w:style w:type="character" w:customStyle="1" w:styleId="390">
    <w:name w:val="close"/>
    <w:qFormat/>
    <w:uiPriority w:val="0"/>
    <w:rPr>
      <w:sz w:val="24"/>
      <w:szCs w:val="24"/>
    </w:rPr>
  </w:style>
  <w:style w:type="character" w:customStyle="1" w:styleId="391">
    <w:name w:val="sort1"/>
    <w:qFormat/>
    <w:uiPriority w:val="0"/>
    <w:rPr>
      <w:sz w:val="24"/>
      <w:szCs w:val="20"/>
    </w:rPr>
  </w:style>
  <w:style w:type="character" w:customStyle="1" w:styleId="392">
    <w:name w:val="icon-sina-cancel-b2"/>
    <w:qFormat/>
    <w:uiPriority w:val="0"/>
    <w:rPr>
      <w:sz w:val="24"/>
      <w:szCs w:val="20"/>
    </w:rPr>
  </w:style>
  <w:style w:type="character" w:customStyle="1" w:styleId="393">
    <w:name w:val="title-word-bg"/>
    <w:qFormat/>
    <w:uiPriority w:val="0"/>
    <w:rPr>
      <w:color w:val="FFDCD3"/>
      <w:sz w:val="24"/>
      <w:szCs w:val="20"/>
    </w:rPr>
  </w:style>
  <w:style w:type="character" w:customStyle="1" w:styleId="394">
    <w:name w:val="icon-sina-click-b"/>
    <w:qFormat/>
    <w:uiPriority w:val="0"/>
    <w:rPr>
      <w:sz w:val="24"/>
      <w:szCs w:val="20"/>
    </w:rPr>
  </w:style>
  <w:style w:type="paragraph" w:customStyle="1" w:styleId="395">
    <w:name w:val="表头"/>
    <w:next w:val="266"/>
    <w:qFormat/>
    <w:uiPriority w:val="0"/>
    <w:pPr>
      <w:keepNext/>
      <w:adjustRightInd w:val="0"/>
      <w:snapToGrid w:val="0"/>
      <w:spacing w:beforeLines="100"/>
      <w:jc w:val="center"/>
    </w:pPr>
    <w:rPr>
      <w:rFonts w:ascii="Arial" w:hAnsi="Arial" w:eastAsia="黑体" w:cs="Times New Roman"/>
      <w:kern w:val="2"/>
      <w:sz w:val="21"/>
      <w:szCs w:val="24"/>
      <w:lang w:val="en-US" w:eastAsia="zh-CN" w:bidi="ar-SA"/>
    </w:rPr>
  </w:style>
  <w:style w:type="paragraph" w:customStyle="1" w:styleId="396">
    <w:name w:val="列出段落3"/>
    <w:basedOn w:val="1"/>
    <w:qFormat/>
    <w:uiPriority w:val="34"/>
    <w:pPr>
      <w:spacing w:line="360" w:lineRule="auto"/>
      <w:ind w:firstLine="420" w:firstLineChars="200"/>
    </w:pPr>
    <w:rPr>
      <w:rFonts w:ascii="Times New Roman" w:hAnsi="Times New Roman" w:eastAsia="仿宋" w:cs="Times New Roman"/>
      <w:sz w:val="24"/>
      <w:szCs w:val="21"/>
    </w:rPr>
  </w:style>
  <w:style w:type="paragraph" w:customStyle="1" w:styleId="397">
    <w:name w:val="样式1"/>
    <w:basedOn w:val="7"/>
    <w:qFormat/>
    <w:uiPriority w:val="0"/>
    <w:pPr>
      <w:tabs>
        <w:tab w:val="left" w:pos="113"/>
      </w:tabs>
      <w:spacing w:before="0" w:after="0" w:line="360" w:lineRule="auto"/>
      <w:ind w:left="864" w:hanging="864"/>
    </w:pPr>
    <w:rPr>
      <w:rFonts w:ascii="Times New Roman" w:hAnsi="Times New Roman" w:eastAsia="楷体"/>
    </w:rPr>
  </w:style>
  <w:style w:type="paragraph" w:customStyle="1" w:styleId="398">
    <w:name w:val="表注"/>
    <w:next w:val="266"/>
    <w:qFormat/>
    <w:uiPriority w:val="0"/>
    <w:pPr>
      <w:adjustRightInd w:val="0"/>
      <w:snapToGrid w:val="0"/>
      <w:ind w:left="100" w:leftChars="100" w:right="100" w:rightChars="100"/>
      <w:jc w:val="both"/>
    </w:pPr>
    <w:rPr>
      <w:rFonts w:ascii="Times New Roman" w:hAnsi="Times New Roman" w:eastAsia="宋体" w:cs="Times New Roman"/>
      <w:bCs/>
      <w:kern w:val="2"/>
      <w:sz w:val="21"/>
      <w:szCs w:val="32"/>
      <w:lang w:val="en-US" w:eastAsia="zh-CN" w:bidi="ar-SA"/>
    </w:rPr>
  </w:style>
  <w:style w:type="paragraph" w:customStyle="1" w:styleId="399">
    <w:name w:val="Table Centered"/>
    <w:basedOn w:val="1"/>
    <w:qFormat/>
    <w:uiPriority w:val="0"/>
    <w:pPr>
      <w:widowControl/>
      <w:jc w:val="center"/>
    </w:pPr>
    <w:rPr>
      <w:rFonts w:ascii="Times New Roman" w:hAnsi="Times New Roman" w:eastAsia="宋体" w:cs="Times New Roman"/>
      <w:kern w:val="0"/>
      <w:sz w:val="18"/>
      <w:szCs w:val="20"/>
    </w:rPr>
  </w:style>
  <w:style w:type="paragraph" w:customStyle="1" w:styleId="400">
    <w:name w:val="font17"/>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401">
    <w:name w:val="列出段落121"/>
    <w:basedOn w:val="1"/>
    <w:qFormat/>
    <w:uiPriority w:val="34"/>
    <w:pPr>
      <w:spacing w:line="360" w:lineRule="auto"/>
      <w:ind w:firstLine="420" w:firstLineChars="200"/>
    </w:pPr>
    <w:rPr>
      <w:rFonts w:ascii="Times New Roman" w:hAnsi="Times New Roman" w:eastAsia="仿宋" w:cs="Times New Roman"/>
      <w:sz w:val="24"/>
      <w:szCs w:val="21"/>
    </w:rPr>
  </w:style>
  <w:style w:type="paragraph" w:customStyle="1" w:styleId="402">
    <w:name w:val="瑞安正文"/>
    <w:basedOn w:val="1"/>
    <w:qFormat/>
    <w:uiPriority w:val="0"/>
    <w:pPr>
      <w:widowControl/>
      <w:adjustRightInd w:val="0"/>
      <w:snapToGrid w:val="0"/>
      <w:spacing w:afterLines="50" w:line="300" w:lineRule="auto"/>
      <w:ind w:firstLine="200" w:firstLineChars="200"/>
      <w:jc w:val="left"/>
    </w:pPr>
    <w:rPr>
      <w:rFonts w:ascii="宋体" w:hAnsi="宋体" w:eastAsia="宋体" w:cs="宋体"/>
      <w:kern w:val="0"/>
      <w:sz w:val="24"/>
      <w:szCs w:val="24"/>
    </w:rPr>
  </w:style>
  <w:style w:type="paragraph" w:customStyle="1" w:styleId="403">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404">
    <w:name w:val="正文2"/>
    <w:basedOn w:val="1"/>
    <w:qFormat/>
    <w:uiPriority w:val="0"/>
    <w:pPr>
      <w:spacing w:line="560" w:lineRule="exact"/>
      <w:ind w:firstLine="200" w:firstLineChars="200"/>
      <w:textAlignment w:val="center"/>
    </w:pPr>
    <w:rPr>
      <w:rFonts w:ascii="Times New Roman" w:hAnsi="Times New Roman" w:eastAsia="仿宋_GB2312" w:cs="Times New Roman"/>
      <w:kern w:val="0"/>
      <w:sz w:val="28"/>
      <w:szCs w:val="28"/>
    </w:rPr>
  </w:style>
  <w:style w:type="paragraph" w:customStyle="1" w:styleId="405">
    <w:name w:val="xl86"/>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406">
    <w:name w:val="正文缩进1"/>
    <w:basedOn w:val="1"/>
    <w:qFormat/>
    <w:uiPriority w:val="0"/>
    <w:pPr>
      <w:spacing w:line="288" w:lineRule="auto"/>
      <w:ind w:firstLine="200" w:firstLineChars="200"/>
    </w:pPr>
    <w:rPr>
      <w:rFonts w:ascii="宋体" w:hAnsi="宋体" w:eastAsia="华文细黑" w:cs="宋体"/>
      <w:kern w:val="0"/>
      <w:szCs w:val="24"/>
    </w:rPr>
  </w:style>
  <w:style w:type="paragraph" w:customStyle="1" w:styleId="407">
    <w:name w:val="2"/>
    <w:basedOn w:val="1"/>
    <w:next w:val="1"/>
    <w:qFormat/>
    <w:uiPriority w:val="0"/>
    <w:pPr>
      <w:widowControl/>
      <w:jc w:val="center"/>
    </w:pPr>
    <w:rPr>
      <w:rFonts w:ascii="宋体" w:hAnsi="宋体" w:eastAsia="宋体" w:cs="宋体"/>
      <w:kern w:val="0"/>
      <w:sz w:val="28"/>
      <w:szCs w:val="24"/>
    </w:rPr>
  </w:style>
  <w:style w:type="paragraph" w:customStyle="1" w:styleId="408">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color w:val="000000"/>
      <w:kern w:val="0"/>
      <w:sz w:val="24"/>
      <w:szCs w:val="24"/>
    </w:rPr>
  </w:style>
  <w:style w:type="paragraph" w:customStyle="1" w:styleId="409">
    <w:name w:val="xl76"/>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410">
    <w:name w:val="Table Caption"/>
    <w:basedOn w:val="399"/>
    <w:qFormat/>
    <w:uiPriority w:val="0"/>
    <w:rPr>
      <w:b/>
    </w:rPr>
  </w:style>
  <w:style w:type="paragraph" w:customStyle="1" w:styleId="411">
    <w:name w:val="正文-第几条"/>
    <w:basedOn w:val="1"/>
    <w:qFormat/>
    <w:uiPriority w:val="0"/>
    <w:pPr>
      <w:numPr>
        <w:ilvl w:val="0"/>
        <w:numId w:val="5"/>
      </w:numPr>
      <w:spacing w:line="360" w:lineRule="auto"/>
    </w:pPr>
    <w:rPr>
      <w:rFonts w:ascii="Times New Roman" w:hAnsi="Times New Roman" w:eastAsia="宋体" w:cs="Times New Roman"/>
      <w:sz w:val="24"/>
      <w:szCs w:val="24"/>
    </w:rPr>
  </w:style>
  <w:style w:type="paragraph" w:customStyle="1" w:styleId="412">
    <w:name w:val="xl8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413">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414">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415">
    <w:name w:val="xl74"/>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16">
    <w:name w:val="TOC 标题1"/>
    <w:basedOn w:val="4"/>
    <w:next w:val="1"/>
    <w:qFormat/>
    <w:uiPriority w:val="39"/>
    <w:pPr>
      <w:widowControl/>
      <w:spacing w:before="240" w:after="0" w:line="259" w:lineRule="auto"/>
      <w:jc w:val="left"/>
      <w:outlineLvl w:val="9"/>
    </w:pPr>
    <w:rPr>
      <w:rFonts w:ascii="Cambria" w:hAnsi="Cambria"/>
      <w:b w:val="0"/>
      <w:bCs w:val="0"/>
      <w:color w:val="365F91"/>
      <w:kern w:val="0"/>
      <w:sz w:val="32"/>
      <w:szCs w:val="32"/>
    </w:rPr>
  </w:style>
  <w:style w:type="paragraph" w:customStyle="1" w:styleId="417">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黑体" w:eastAsia="黑体" w:cs="宋体"/>
      <w:b/>
      <w:bCs/>
      <w:color w:val="000000"/>
      <w:kern w:val="0"/>
      <w:sz w:val="24"/>
      <w:szCs w:val="24"/>
    </w:rPr>
  </w:style>
  <w:style w:type="paragraph" w:customStyle="1" w:styleId="418">
    <w:name w:val="font10"/>
    <w:basedOn w:val="1"/>
    <w:qFormat/>
    <w:uiPriority w:val="0"/>
    <w:pPr>
      <w:widowControl/>
      <w:spacing w:before="100" w:beforeAutospacing="1" w:after="100" w:afterAutospacing="1"/>
      <w:jc w:val="left"/>
    </w:pPr>
    <w:rPr>
      <w:rFonts w:ascii="Times New Roman" w:hAnsi="Times New Roman" w:eastAsia="宋体" w:cs="Times New Roman"/>
      <w:color w:val="000000"/>
      <w:kern w:val="0"/>
      <w:sz w:val="20"/>
      <w:szCs w:val="20"/>
    </w:rPr>
  </w:style>
  <w:style w:type="paragraph" w:customStyle="1" w:styleId="419">
    <w:name w:val="Char"/>
    <w:basedOn w:val="1"/>
    <w:qFormat/>
    <w:uiPriority w:val="0"/>
    <w:pPr>
      <w:spacing w:line="360" w:lineRule="auto"/>
    </w:pPr>
    <w:rPr>
      <w:rFonts w:ascii="Times New Roman" w:hAnsi="Times New Roman" w:eastAsia="宋体" w:cs="Times New Roman"/>
      <w:szCs w:val="24"/>
    </w:rPr>
  </w:style>
  <w:style w:type="paragraph" w:customStyle="1" w:styleId="420">
    <w:name w:val="_Style 1"/>
    <w:basedOn w:val="1"/>
    <w:qFormat/>
    <w:uiPriority w:val="34"/>
    <w:pPr>
      <w:spacing w:line="360" w:lineRule="auto"/>
      <w:ind w:firstLine="420" w:firstLineChars="200"/>
    </w:pPr>
    <w:rPr>
      <w:rFonts w:ascii="Times New Roman" w:hAnsi="Times New Roman" w:eastAsia="仿宋_GB2312" w:cs="Times New Roman"/>
      <w:sz w:val="24"/>
      <w:szCs w:val="21"/>
    </w:rPr>
  </w:style>
  <w:style w:type="paragraph" w:customStyle="1" w:styleId="421">
    <w:name w:val="TOC 标题11"/>
    <w:basedOn w:val="4"/>
    <w:next w:val="1"/>
    <w:unhideWhenUsed/>
    <w:qFormat/>
    <w:uiPriority w:val="39"/>
    <w:pPr>
      <w:widowControl/>
      <w:tabs>
        <w:tab w:val="left" w:pos="432"/>
      </w:tabs>
      <w:spacing w:before="240" w:after="60" w:line="240" w:lineRule="auto"/>
      <w:ind w:left="284"/>
      <w:jc w:val="center"/>
      <w:outlineLvl w:val="9"/>
    </w:pPr>
    <w:rPr>
      <w:rFonts w:ascii="Cambria" w:hAnsi="Cambria" w:eastAsia="黑体"/>
      <w:kern w:val="32"/>
      <w:sz w:val="32"/>
      <w:szCs w:val="32"/>
      <w:lang w:eastAsia="en-US" w:bidi="en-US"/>
    </w:rPr>
  </w:style>
  <w:style w:type="paragraph" w:styleId="422">
    <w:name w:val="No Spacing"/>
    <w:qFormat/>
    <w:uiPriority w:val="1"/>
    <w:pPr>
      <w:widowControl w:val="0"/>
      <w:adjustRightInd w:val="0"/>
      <w:snapToGrid w:val="0"/>
      <w:jc w:val="center"/>
    </w:pPr>
    <w:rPr>
      <w:rFonts w:ascii="Times New Roman" w:hAnsi="Times New Roman" w:eastAsia="宋体" w:cs="Times New Roman"/>
      <w:kern w:val="2"/>
      <w:sz w:val="24"/>
      <w:lang w:val="en-US" w:eastAsia="zh-CN" w:bidi="ar-SA"/>
    </w:rPr>
  </w:style>
  <w:style w:type="paragraph" w:customStyle="1" w:styleId="423">
    <w:name w:val="正文 A"/>
    <w:qFormat/>
    <w:uiPriority w:val="0"/>
    <w:pPr>
      <w:widowControl w:val="0"/>
      <w:pBdr>
        <w:top w:val="none" w:color="FFFFFF" w:sz="0" w:space="31"/>
        <w:left w:val="none" w:color="FFFFFF" w:sz="0" w:space="31"/>
        <w:bottom w:val="none" w:color="FFFFFF" w:sz="0" w:space="31"/>
        <w:right w:val="none" w:color="FFFFFF" w:sz="0" w:space="31"/>
      </w:pBdr>
      <w:jc w:val="both"/>
    </w:pPr>
    <w:rPr>
      <w:rFonts w:ascii="Times New Roman" w:hAnsi="Times New Roman" w:eastAsia="Times New Roman" w:cs="Calibri"/>
      <w:color w:val="000000"/>
      <w:kern w:val="2"/>
      <w:sz w:val="21"/>
      <w:szCs w:val="21"/>
      <w:lang w:val="en-US" w:eastAsia="zh-CN" w:bidi="ar-SA"/>
    </w:rPr>
  </w:style>
  <w:style w:type="paragraph" w:customStyle="1" w:styleId="424">
    <w:name w:val="_Style 63"/>
    <w:basedOn w:val="1"/>
    <w:next w:val="1"/>
    <w:qFormat/>
    <w:uiPriority w:val="0"/>
    <w:pPr>
      <w:spacing w:line="240" w:lineRule="atLeast"/>
      <w:ind w:left="420" w:firstLine="420"/>
      <w:jc w:val="left"/>
    </w:pPr>
    <w:rPr>
      <w:rFonts w:ascii="Times New Roman" w:hAnsi="Times New Roman" w:eastAsia="宋体" w:cs="Times New Roman"/>
      <w:kern w:val="0"/>
      <w:szCs w:val="21"/>
    </w:rPr>
  </w:style>
  <w:style w:type="paragraph" w:customStyle="1" w:styleId="425">
    <w:name w:val="1"/>
    <w:unhideWhenUsed/>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426">
    <w:name w:val="表格文字2"/>
    <w:basedOn w:val="1"/>
    <w:qFormat/>
    <w:uiPriority w:val="0"/>
    <w:pPr>
      <w:adjustRightInd w:val="0"/>
      <w:spacing w:before="60"/>
      <w:jc w:val="center"/>
      <w:textAlignment w:val="baseline"/>
    </w:pPr>
    <w:rPr>
      <w:rFonts w:ascii="宋体" w:hAnsi="Times New Roman" w:eastAsia="宋体" w:cs="Times New Roman"/>
      <w:kern w:val="0"/>
      <w:sz w:val="24"/>
      <w:szCs w:val="20"/>
    </w:rPr>
  </w:style>
  <w:style w:type="paragraph" w:customStyle="1" w:styleId="427">
    <w:name w:val="列出段落4"/>
    <w:basedOn w:val="1"/>
    <w:qFormat/>
    <w:uiPriority w:val="34"/>
    <w:pPr>
      <w:widowControl/>
      <w:ind w:firstLine="420" w:firstLineChars="200"/>
      <w:jc w:val="left"/>
    </w:pPr>
    <w:rPr>
      <w:rFonts w:ascii="Calibri" w:hAnsi="Calibri" w:eastAsia="宋体" w:cs="宋体"/>
      <w:kern w:val="0"/>
      <w:sz w:val="20"/>
      <w:szCs w:val="24"/>
    </w:rPr>
  </w:style>
  <w:style w:type="paragraph" w:customStyle="1" w:styleId="428">
    <w:name w:val="杭州研究报告-正文"/>
    <w:basedOn w:val="1"/>
    <w:qFormat/>
    <w:uiPriority w:val="0"/>
    <w:pPr>
      <w:spacing w:line="480" w:lineRule="exact"/>
      <w:ind w:firstLine="480" w:firstLineChars="200"/>
      <w:jc w:val="left"/>
    </w:pPr>
    <w:rPr>
      <w:rFonts w:ascii="Times New Roman" w:hAnsi="Times New Roman" w:eastAsia="仿宋_GB2312" w:cs="Times New Roman"/>
      <w:bCs/>
      <w:kern w:val="0"/>
      <w:sz w:val="24"/>
      <w:szCs w:val="21"/>
    </w:rPr>
  </w:style>
  <w:style w:type="paragraph" w:customStyle="1" w:styleId="429">
    <w:name w:val="无间隔1"/>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430">
    <w:name w:val="_Style 2"/>
    <w:basedOn w:val="1"/>
    <w:qFormat/>
    <w:uiPriority w:val="0"/>
    <w:pPr>
      <w:snapToGrid w:val="0"/>
      <w:spacing w:line="400" w:lineRule="exact"/>
      <w:ind w:firstLine="420" w:firstLineChars="200"/>
    </w:pPr>
    <w:rPr>
      <w:rFonts w:ascii="Times New Roman" w:hAnsi="Times New Roman" w:eastAsia="宋体" w:cs="Calibri"/>
      <w:sz w:val="24"/>
      <w:szCs w:val="21"/>
    </w:rPr>
  </w:style>
  <w:style w:type="paragraph" w:customStyle="1" w:styleId="431">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432">
    <w:name w:val="规划正文"/>
    <w:basedOn w:val="1"/>
    <w:qFormat/>
    <w:uiPriority w:val="0"/>
    <w:pPr>
      <w:adjustRightInd w:val="0"/>
      <w:snapToGrid w:val="0"/>
      <w:spacing w:line="360" w:lineRule="auto"/>
      <w:ind w:firstLine="200" w:firstLineChars="200"/>
    </w:pPr>
    <w:rPr>
      <w:rFonts w:ascii="楷体_GB2312" w:hAnsi="Calibri" w:eastAsia="仿宋_GB2312" w:cs="黑体"/>
      <w:bCs/>
      <w:kern w:val="0"/>
      <w:sz w:val="28"/>
      <w:szCs w:val="27"/>
    </w:rPr>
  </w:style>
  <w:style w:type="paragraph" w:customStyle="1" w:styleId="433">
    <w:name w:val="论文参考文献样式"/>
    <w:basedOn w:val="1"/>
    <w:qFormat/>
    <w:uiPriority w:val="0"/>
    <w:pPr>
      <w:spacing w:before="260" w:after="260" w:line="300" w:lineRule="auto"/>
      <w:ind w:firstLine="422" w:firstLineChars="200"/>
      <w:jc w:val="center"/>
    </w:pPr>
    <w:rPr>
      <w:rFonts w:ascii="Times New Roman" w:hAnsi="Times New Roman" w:eastAsia="宋体" w:cs="宋体"/>
      <w:b/>
      <w:bCs/>
      <w:szCs w:val="20"/>
    </w:rPr>
  </w:style>
  <w:style w:type="paragraph" w:customStyle="1" w:styleId="434">
    <w:name w:val="图表格式"/>
    <w:basedOn w:val="1"/>
    <w:qFormat/>
    <w:uiPriority w:val="0"/>
    <w:pPr>
      <w:widowControl/>
      <w:spacing w:afterLines="50" w:line="360" w:lineRule="auto"/>
      <w:jc w:val="center"/>
    </w:pPr>
    <w:rPr>
      <w:rFonts w:ascii="Times New Roman" w:hAnsi="Times New Roman" w:eastAsia="黑体" w:cs="宋体"/>
      <w:sz w:val="24"/>
      <w:szCs w:val="21"/>
    </w:rPr>
  </w:style>
  <w:style w:type="paragraph" w:customStyle="1" w:styleId="435">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436">
    <w:name w:val="论文表格图形名字样式"/>
    <w:basedOn w:val="1"/>
    <w:qFormat/>
    <w:uiPriority w:val="0"/>
    <w:pPr>
      <w:spacing w:before="260" w:after="260" w:line="300" w:lineRule="auto"/>
      <w:ind w:firstLine="361" w:firstLineChars="200"/>
      <w:jc w:val="center"/>
    </w:pPr>
    <w:rPr>
      <w:rFonts w:ascii="黑体" w:hAnsi="黑体" w:eastAsia="黑体" w:cs="宋体"/>
      <w:b/>
      <w:bCs/>
      <w:kern w:val="0"/>
      <w:sz w:val="18"/>
      <w:szCs w:val="20"/>
    </w:rPr>
  </w:style>
  <w:style w:type="paragraph" w:customStyle="1" w:styleId="437">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黑体" w:eastAsia="黑体" w:cs="宋体"/>
      <w:b/>
      <w:bCs/>
      <w:color w:val="000000"/>
      <w:kern w:val="0"/>
      <w:szCs w:val="21"/>
    </w:rPr>
  </w:style>
  <w:style w:type="paragraph" w:customStyle="1" w:styleId="438">
    <w:name w:val="样式2"/>
    <w:basedOn w:val="15"/>
    <w:qFormat/>
    <w:uiPriority w:val="0"/>
    <w:pPr>
      <w:spacing w:beforeLines="50" w:afterLines="100"/>
      <w:jc w:val="center"/>
    </w:pPr>
    <w:rPr>
      <w:rFonts w:ascii="Times New Roman" w:hAnsi="Times New Roman" w:cs="黑体"/>
      <w:sz w:val="22"/>
    </w:rPr>
  </w:style>
  <w:style w:type="paragraph" w:customStyle="1" w:styleId="439">
    <w:name w:val="样式3"/>
    <w:basedOn w:val="4"/>
    <w:qFormat/>
    <w:uiPriority w:val="0"/>
    <w:pPr>
      <w:keepLines w:val="0"/>
      <w:widowControl/>
      <w:tabs>
        <w:tab w:val="left" w:pos="360"/>
        <w:tab w:val="left" w:pos="420"/>
      </w:tabs>
      <w:spacing w:beforeLines="50" w:afterLines="50" w:line="240" w:lineRule="auto"/>
      <w:ind w:firstLine="200" w:firstLineChars="200"/>
      <w:jc w:val="left"/>
    </w:pPr>
    <w:rPr>
      <w:rFonts w:ascii="仿宋_GB2312" w:hAnsi="宋体" w:eastAsia="黑体"/>
      <w:bCs w:val="0"/>
      <w:kern w:val="0"/>
      <w:sz w:val="24"/>
      <w:szCs w:val="20"/>
      <w:u w:val="single"/>
    </w:rPr>
  </w:style>
  <w:style w:type="paragraph" w:customStyle="1" w:styleId="440">
    <w:name w:val="font8"/>
    <w:basedOn w:val="1"/>
    <w:qFormat/>
    <w:uiPriority w:val="0"/>
    <w:pPr>
      <w:widowControl/>
      <w:spacing w:before="100" w:beforeAutospacing="1" w:after="100" w:afterAutospacing="1"/>
      <w:jc w:val="left"/>
    </w:pPr>
    <w:rPr>
      <w:rFonts w:ascii="Times New Roman" w:hAnsi="Times New Roman" w:eastAsia="宋体" w:cs="Times New Roman"/>
      <w:color w:val="000000"/>
      <w:kern w:val="0"/>
      <w:sz w:val="22"/>
    </w:rPr>
  </w:style>
  <w:style w:type="paragraph" w:customStyle="1" w:styleId="441">
    <w:name w:val="一级标题"/>
    <w:basedOn w:val="5"/>
    <w:qFormat/>
    <w:uiPriority w:val="0"/>
    <w:pPr>
      <w:numPr>
        <w:ilvl w:val="0"/>
        <w:numId w:val="0"/>
      </w:numPr>
      <w:tabs>
        <w:tab w:val="left" w:pos="113"/>
      </w:tabs>
      <w:adjustRightInd/>
      <w:spacing w:beforeLines="50" w:afterLines="50" w:line="415" w:lineRule="auto"/>
      <w:ind w:left="575" w:hanging="575"/>
      <w:jc w:val="left"/>
    </w:pPr>
    <w:rPr>
      <w:rFonts w:ascii="黑体" w:hAnsi="黑体"/>
      <w:kern w:val="2"/>
      <w:sz w:val="24"/>
      <w:szCs w:val="28"/>
    </w:rPr>
  </w:style>
  <w:style w:type="paragraph" w:customStyle="1" w:styleId="442">
    <w:name w:val="pa-4"/>
    <w:basedOn w:val="1"/>
    <w:qFormat/>
    <w:uiPriority w:val="0"/>
    <w:pPr>
      <w:widowControl/>
      <w:spacing w:before="150" w:after="150" w:line="360" w:lineRule="auto"/>
      <w:jc w:val="left"/>
    </w:pPr>
    <w:rPr>
      <w:rFonts w:ascii="宋体" w:hAnsi="宋体" w:eastAsia="宋体" w:cs="宋体"/>
      <w:kern w:val="0"/>
      <w:sz w:val="24"/>
      <w:szCs w:val="24"/>
    </w:rPr>
  </w:style>
  <w:style w:type="paragraph" w:customStyle="1" w:styleId="443">
    <w:name w:val="列出段落12"/>
    <w:basedOn w:val="1"/>
    <w:qFormat/>
    <w:uiPriority w:val="34"/>
    <w:pPr>
      <w:spacing w:line="360" w:lineRule="auto"/>
      <w:ind w:firstLine="420" w:firstLineChars="200"/>
    </w:pPr>
    <w:rPr>
      <w:rFonts w:ascii="Times New Roman" w:hAnsi="Times New Roman" w:eastAsia="仿宋" w:cs="Times New Roman"/>
      <w:sz w:val="24"/>
      <w:szCs w:val="21"/>
    </w:rPr>
  </w:style>
  <w:style w:type="paragraph" w:customStyle="1" w:styleId="444">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eastAsia="宋体" w:cs="Times New Roman"/>
      <w:color w:val="000000"/>
      <w:kern w:val="0"/>
      <w:sz w:val="24"/>
      <w:szCs w:val="24"/>
    </w:rPr>
  </w:style>
  <w:style w:type="paragraph" w:customStyle="1" w:styleId="445">
    <w:name w:val="正文 New New New New New New New New New New New New New New New New New New New New New"/>
    <w:qFormat/>
    <w:uiPriority w:val="0"/>
    <w:pPr>
      <w:widowControl w:val="0"/>
      <w:jc w:val="both"/>
    </w:pPr>
    <w:rPr>
      <w:rFonts w:ascii="Times New Roman" w:hAnsi="Times New Roman" w:eastAsia="宋体" w:cs="Calibri"/>
      <w:kern w:val="2"/>
      <w:sz w:val="21"/>
      <w:szCs w:val="21"/>
      <w:lang w:val="en-US" w:eastAsia="zh-CN" w:bidi="ar-SA"/>
    </w:rPr>
  </w:style>
  <w:style w:type="paragraph" w:customStyle="1" w:styleId="446">
    <w:name w:val="xl75"/>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47">
    <w:name w:val="正文图"/>
    <w:basedOn w:val="1"/>
    <w:qFormat/>
    <w:uiPriority w:val="0"/>
    <w:pPr>
      <w:widowControl/>
      <w:spacing w:afterLines="50" w:line="480" w:lineRule="exact"/>
      <w:ind w:right="-24" w:rightChars="-24" w:firstLine="200" w:firstLineChars="200"/>
      <w:jc w:val="center"/>
      <w:outlineLvl w:val="4"/>
    </w:pPr>
    <w:rPr>
      <w:rFonts w:ascii="黑体" w:hAnsi="Times New Roman" w:eastAsia="黑体" w:cs="Times New Roman"/>
      <w:bCs/>
      <w:color w:val="000000"/>
      <w:kern w:val="0"/>
      <w:sz w:val="24"/>
      <w:szCs w:val="21"/>
    </w:rPr>
  </w:style>
  <w:style w:type="paragraph" w:customStyle="1" w:styleId="448">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4"/>
      <w:szCs w:val="24"/>
    </w:rPr>
  </w:style>
  <w:style w:type="paragraph" w:customStyle="1" w:styleId="449">
    <w:name w:val="正文001"/>
    <w:basedOn w:val="1"/>
    <w:qFormat/>
    <w:uiPriority w:val="0"/>
    <w:pPr>
      <w:widowControl/>
      <w:spacing w:before="60" w:line="460" w:lineRule="exact"/>
      <w:ind w:firstLine="482"/>
      <w:jc w:val="left"/>
    </w:pPr>
    <w:rPr>
      <w:rFonts w:ascii="宋体" w:hAnsi="宋体" w:eastAsia="宋体" w:cs="宋体"/>
      <w:kern w:val="0"/>
      <w:sz w:val="24"/>
      <w:szCs w:val="24"/>
    </w:rPr>
  </w:style>
  <w:style w:type="paragraph" w:customStyle="1" w:styleId="450">
    <w:name w:val="font7"/>
    <w:basedOn w:val="1"/>
    <w:qFormat/>
    <w:uiPriority w:val="0"/>
    <w:pPr>
      <w:widowControl/>
      <w:spacing w:before="100" w:beforeAutospacing="1" w:after="100" w:afterAutospacing="1"/>
      <w:jc w:val="left"/>
    </w:pPr>
    <w:rPr>
      <w:rFonts w:ascii="Times New Roman" w:hAnsi="Times New Roman" w:eastAsia="宋体" w:cs="Times New Roman"/>
      <w:color w:val="000000"/>
      <w:kern w:val="0"/>
      <w:sz w:val="18"/>
      <w:szCs w:val="18"/>
    </w:rPr>
  </w:style>
  <w:style w:type="paragraph" w:customStyle="1" w:styleId="451">
    <w:name w:val="TOC 标题2"/>
    <w:basedOn w:val="4"/>
    <w:next w:val="1"/>
    <w:unhideWhenUsed/>
    <w:qFormat/>
    <w:uiPriority w:val="39"/>
    <w:pPr>
      <w:widowControl/>
      <w:spacing w:before="240" w:after="0" w:line="259" w:lineRule="auto"/>
      <w:jc w:val="left"/>
      <w:outlineLvl w:val="9"/>
    </w:pPr>
    <w:rPr>
      <w:rFonts w:ascii="Cambria" w:hAnsi="Cambria"/>
      <w:b w:val="0"/>
      <w:bCs w:val="0"/>
      <w:color w:val="366091"/>
      <w:kern w:val="0"/>
      <w:sz w:val="32"/>
      <w:szCs w:val="32"/>
    </w:rPr>
  </w:style>
  <w:style w:type="paragraph" w:customStyle="1" w:styleId="452">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453">
    <w:name w:val="1 Char"/>
    <w:basedOn w:val="1"/>
    <w:qFormat/>
    <w:uiPriority w:val="0"/>
    <w:pPr>
      <w:spacing w:line="360" w:lineRule="auto"/>
      <w:ind w:firstLine="480" w:firstLineChars="200"/>
    </w:pPr>
    <w:rPr>
      <w:rFonts w:ascii="Times New Roman" w:hAnsi="Times New Roman" w:eastAsia="宋体" w:cs="Times New Roman"/>
      <w:sz w:val="24"/>
      <w:szCs w:val="24"/>
    </w:rPr>
  </w:style>
  <w:style w:type="paragraph" w:customStyle="1" w:styleId="454">
    <w:name w:val="修订2"/>
    <w:unhideWhenUsed/>
    <w:qFormat/>
    <w:uiPriority w:val="99"/>
    <w:rPr>
      <w:rFonts w:ascii="Times New Roman" w:hAnsi="Times New Roman" w:eastAsia="仿宋" w:cs="Times New Roman"/>
      <w:kern w:val="2"/>
      <w:sz w:val="24"/>
      <w:szCs w:val="21"/>
      <w:lang w:val="en-US" w:eastAsia="zh-CN" w:bidi="ar-SA"/>
    </w:rPr>
  </w:style>
  <w:style w:type="paragraph" w:customStyle="1" w:styleId="455">
    <w:name w:val="reader-word-layer"/>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56">
    <w:name w:val="论文一级标题"/>
    <w:basedOn w:val="1"/>
    <w:qFormat/>
    <w:uiPriority w:val="0"/>
    <w:pPr>
      <w:spacing w:before="260" w:after="260" w:line="300" w:lineRule="auto"/>
    </w:pPr>
    <w:rPr>
      <w:rFonts w:ascii="黑体" w:hAnsi="黑体" w:eastAsia="黑体" w:cs="宋体"/>
      <w:sz w:val="28"/>
      <w:szCs w:val="20"/>
    </w:rPr>
  </w:style>
  <w:style w:type="paragraph" w:customStyle="1" w:styleId="457">
    <w:name w:val="font15"/>
    <w:basedOn w:val="1"/>
    <w:qFormat/>
    <w:uiPriority w:val="0"/>
    <w:pPr>
      <w:widowControl/>
      <w:spacing w:before="100" w:beforeAutospacing="1" w:after="100" w:afterAutospacing="1"/>
      <w:jc w:val="left"/>
    </w:pPr>
    <w:rPr>
      <w:rFonts w:ascii="Times New Roman" w:hAnsi="Times New Roman" w:eastAsia="宋体" w:cs="Times New Roman"/>
      <w:color w:val="000000"/>
      <w:kern w:val="0"/>
      <w:sz w:val="22"/>
    </w:rPr>
  </w:style>
  <w:style w:type="paragraph" w:customStyle="1" w:styleId="458">
    <w:name w:val="p0"/>
    <w:basedOn w:val="1"/>
    <w:qFormat/>
    <w:uiPriority w:val="0"/>
    <w:pPr>
      <w:widowControl/>
      <w:jc w:val="left"/>
    </w:pPr>
    <w:rPr>
      <w:rFonts w:ascii="宋体" w:hAnsi="宋体" w:eastAsia="宋体" w:cs="宋体"/>
      <w:kern w:val="0"/>
      <w:sz w:val="24"/>
      <w:szCs w:val="21"/>
    </w:rPr>
  </w:style>
  <w:style w:type="paragraph" w:customStyle="1" w:styleId="459">
    <w:name w:val="论文作者单位样式"/>
    <w:basedOn w:val="1"/>
    <w:qFormat/>
    <w:uiPriority w:val="0"/>
    <w:pPr>
      <w:spacing w:before="260" w:after="260" w:line="300" w:lineRule="auto"/>
      <w:jc w:val="center"/>
    </w:pPr>
    <w:rPr>
      <w:rFonts w:ascii="宋体" w:hAnsi="宋体" w:eastAsia="宋体" w:cs="宋体"/>
      <w:color w:val="000000"/>
      <w:kern w:val="0"/>
      <w:sz w:val="18"/>
      <w:szCs w:val="20"/>
    </w:rPr>
  </w:style>
  <w:style w:type="paragraph" w:customStyle="1" w:styleId="460">
    <w:name w:val="正文用 Char Char"/>
    <w:basedOn w:val="1"/>
    <w:qFormat/>
    <w:uiPriority w:val="0"/>
    <w:pPr>
      <w:widowControl/>
      <w:spacing w:line="360" w:lineRule="auto"/>
      <w:ind w:firstLine="480" w:firstLineChars="200"/>
      <w:jc w:val="left"/>
    </w:pPr>
    <w:rPr>
      <w:rFonts w:ascii="宋体" w:hAnsi="宋体" w:eastAsia="宋体" w:cs="宋体"/>
      <w:bCs/>
      <w:color w:val="000000"/>
      <w:kern w:val="0"/>
      <w:sz w:val="24"/>
      <w:szCs w:val="24"/>
    </w:rPr>
  </w:style>
  <w:style w:type="paragraph" w:customStyle="1" w:styleId="461">
    <w:name w:val="论文参考文献内容样式"/>
    <w:basedOn w:val="1"/>
    <w:qFormat/>
    <w:uiPriority w:val="0"/>
    <w:pPr>
      <w:spacing w:before="260" w:after="260" w:line="267" w:lineRule="atLeast"/>
      <w:ind w:left="286" w:leftChars="-34" w:hanging="357"/>
      <w:jc w:val="left"/>
    </w:pPr>
    <w:rPr>
      <w:rFonts w:ascii="Times New Roman" w:hAnsi="Times New Roman" w:eastAsia="宋体" w:cs="宋体"/>
      <w:sz w:val="18"/>
      <w:szCs w:val="20"/>
    </w:rPr>
  </w:style>
  <w:style w:type="paragraph" w:customStyle="1" w:styleId="462">
    <w:name w:val="p15"/>
    <w:basedOn w:val="1"/>
    <w:qFormat/>
    <w:uiPriority w:val="0"/>
    <w:pPr>
      <w:widowControl/>
      <w:spacing w:line="360" w:lineRule="auto"/>
      <w:jc w:val="center"/>
    </w:pPr>
    <w:rPr>
      <w:rFonts w:ascii="黑体" w:hAnsi="黑体" w:eastAsia="黑体" w:cs="宋体"/>
      <w:spacing w:val="-6"/>
      <w:kern w:val="0"/>
      <w:sz w:val="62"/>
      <w:szCs w:val="62"/>
    </w:rPr>
  </w:style>
  <w:style w:type="paragraph" w:customStyle="1" w:styleId="463">
    <w:name w:val="表中文字"/>
    <w:link w:val="577"/>
    <w:qFormat/>
    <w:uiPriority w:val="99"/>
    <w:pPr>
      <w:snapToGrid w:val="0"/>
      <w:jc w:val="center"/>
    </w:pPr>
    <w:rPr>
      <w:rFonts w:ascii="Times New Roman" w:hAnsi="Times New Roman" w:eastAsia="仿宋_GB2312" w:cs="Times New Roman"/>
      <w:kern w:val="2"/>
      <w:sz w:val="24"/>
      <w:szCs w:val="21"/>
      <w:lang w:val="en-US" w:eastAsia="zh-CN" w:bidi="ar-SA"/>
    </w:rPr>
  </w:style>
  <w:style w:type="paragraph" w:customStyle="1" w:styleId="464">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465">
    <w:name w:val="Default"/>
    <w:qFormat/>
    <w:uiPriority w:val="0"/>
    <w:pPr>
      <w:widowControl w:val="0"/>
      <w:autoSpaceDE w:val="0"/>
      <w:autoSpaceDN w:val="0"/>
      <w:adjustRightInd w:val="0"/>
    </w:pPr>
    <w:rPr>
      <w:rFonts w:ascii="仿宋" w:hAnsi="Times New Roman" w:eastAsia="仿宋" w:cs="仿宋"/>
      <w:color w:val="000000"/>
      <w:sz w:val="24"/>
      <w:szCs w:val="24"/>
      <w:lang w:val="en-US" w:eastAsia="zh-CN" w:bidi="ar-SA"/>
    </w:rPr>
  </w:style>
  <w:style w:type="paragraph" w:customStyle="1" w:styleId="466">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467">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68">
    <w:name w:val="p18"/>
    <w:basedOn w:val="1"/>
    <w:qFormat/>
    <w:uiPriority w:val="0"/>
    <w:pPr>
      <w:widowControl/>
      <w:spacing w:line="360" w:lineRule="auto"/>
      <w:jc w:val="center"/>
    </w:pPr>
    <w:rPr>
      <w:rFonts w:ascii="Calibri" w:hAnsi="Calibri" w:eastAsia="宋体" w:cs="宋体"/>
      <w:kern w:val="0"/>
      <w:sz w:val="32"/>
      <w:szCs w:val="32"/>
    </w:rPr>
  </w:style>
  <w:style w:type="paragraph" w:customStyle="1" w:styleId="469">
    <w:name w:val="xl8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styleId="470">
    <w:name w:val="List Paragraph"/>
    <w:basedOn w:val="1"/>
    <w:qFormat/>
    <w:uiPriority w:val="34"/>
    <w:pPr>
      <w:ind w:firstLine="420" w:firstLineChars="200"/>
    </w:pPr>
    <w:rPr>
      <w:rFonts w:ascii="Times New Roman" w:hAnsi="Times New Roman" w:eastAsia="宋体" w:cs="Times New Roman"/>
    </w:rPr>
  </w:style>
  <w:style w:type="paragraph" w:customStyle="1" w:styleId="471">
    <w:name w:val="font9"/>
    <w:basedOn w:val="1"/>
    <w:qFormat/>
    <w:uiPriority w:val="0"/>
    <w:pPr>
      <w:widowControl/>
      <w:spacing w:before="100" w:beforeAutospacing="1" w:after="100" w:afterAutospacing="1"/>
      <w:jc w:val="left"/>
    </w:pPr>
    <w:rPr>
      <w:rFonts w:ascii="宋体" w:hAnsi="宋体" w:eastAsia="宋体" w:cs="宋体"/>
      <w:color w:val="000000"/>
      <w:kern w:val="0"/>
      <w:sz w:val="22"/>
    </w:rPr>
  </w:style>
  <w:style w:type="paragraph" w:customStyle="1" w:styleId="472">
    <w:name w:val="p16"/>
    <w:basedOn w:val="1"/>
    <w:qFormat/>
    <w:uiPriority w:val="0"/>
    <w:pPr>
      <w:widowControl/>
      <w:jc w:val="center"/>
    </w:pPr>
    <w:rPr>
      <w:rFonts w:ascii="宋体" w:hAnsi="宋体" w:eastAsia="宋体" w:cs="宋体"/>
      <w:color w:val="000000"/>
      <w:kern w:val="0"/>
      <w:sz w:val="24"/>
      <w:szCs w:val="24"/>
    </w:rPr>
  </w:style>
  <w:style w:type="paragraph" w:customStyle="1" w:styleId="473">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eastAsia="宋体" w:cs="Times New Roman"/>
      <w:kern w:val="0"/>
      <w:sz w:val="18"/>
      <w:szCs w:val="18"/>
    </w:rPr>
  </w:style>
  <w:style w:type="paragraph" w:customStyle="1" w:styleId="474">
    <w:name w:val="p17"/>
    <w:basedOn w:val="1"/>
    <w:qFormat/>
    <w:uiPriority w:val="0"/>
    <w:pPr>
      <w:widowControl/>
      <w:spacing w:line="600" w:lineRule="atLeast"/>
      <w:ind w:firstLine="420"/>
      <w:jc w:val="left"/>
    </w:pPr>
    <w:rPr>
      <w:rFonts w:ascii="宋体" w:hAnsi="宋体" w:eastAsia="宋体" w:cs="宋体"/>
      <w:b/>
      <w:bCs/>
      <w:color w:val="000000"/>
      <w:kern w:val="0"/>
      <w:sz w:val="32"/>
      <w:szCs w:val="32"/>
    </w:rPr>
  </w:style>
  <w:style w:type="paragraph" w:customStyle="1" w:styleId="475">
    <w:name w:val="图表标题"/>
    <w:basedOn w:val="1"/>
    <w:qFormat/>
    <w:uiPriority w:val="0"/>
    <w:pPr>
      <w:spacing w:line="300" w:lineRule="auto"/>
      <w:jc w:val="center"/>
    </w:pPr>
    <w:rPr>
      <w:rFonts w:ascii="Times New Roman" w:hAnsi="Times New Roman" w:eastAsia="楷体_GB2312" w:cs="宋体"/>
      <w:sz w:val="24"/>
      <w:szCs w:val="20"/>
    </w:rPr>
  </w:style>
  <w:style w:type="paragraph" w:customStyle="1" w:styleId="476">
    <w:name w:val="列出段落1"/>
    <w:basedOn w:val="1"/>
    <w:qFormat/>
    <w:uiPriority w:val="99"/>
    <w:pPr>
      <w:spacing w:line="360" w:lineRule="auto"/>
      <w:ind w:firstLine="420" w:firstLineChars="200"/>
    </w:pPr>
    <w:rPr>
      <w:rFonts w:ascii="Times New Roman" w:hAnsi="Times New Roman" w:eastAsia="仿宋_GB2312" w:cs="Times New Roman"/>
      <w:sz w:val="24"/>
      <w:szCs w:val="21"/>
    </w:rPr>
  </w:style>
  <w:style w:type="paragraph" w:customStyle="1" w:styleId="477">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4"/>
      <w:szCs w:val="24"/>
    </w:rPr>
  </w:style>
  <w:style w:type="paragraph" w:customStyle="1" w:styleId="478">
    <w:name w:val="font14"/>
    <w:basedOn w:val="1"/>
    <w:qFormat/>
    <w:uiPriority w:val="0"/>
    <w:pPr>
      <w:widowControl/>
      <w:spacing w:before="100" w:beforeAutospacing="1" w:after="100" w:afterAutospacing="1"/>
      <w:jc w:val="left"/>
    </w:pPr>
    <w:rPr>
      <w:rFonts w:ascii="Times New Roman" w:hAnsi="Times New Roman" w:eastAsia="宋体" w:cs="Times New Roman"/>
      <w:color w:val="000000"/>
      <w:kern w:val="0"/>
      <w:sz w:val="20"/>
      <w:szCs w:val="20"/>
    </w:rPr>
  </w:style>
  <w:style w:type="paragraph" w:customStyle="1" w:styleId="479">
    <w:name w:val="修订1"/>
    <w:qFormat/>
    <w:uiPriority w:val="99"/>
    <w:rPr>
      <w:rFonts w:ascii="Times New Roman" w:hAnsi="Times New Roman" w:eastAsia="宋体" w:cs="Times New Roman"/>
      <w:kern w:val="2"/>
      <w:sz w:val="21"/>
      <w:szCs w:val="21"/>
      <w:lang w:val="en-US" w:eastAsia="zh-CN" w:bidi="ar-SA"/>
    </w:rPr>
  </w:style>
  <w:style w:type="paragraph" w:customStyle="1" w:styleId="480">
    <w:name w:val="二级标题"/>
    <w:basedOn w:val="1"/>
    <w:qFormat/>
    <w:uiPriority w:val="0"/>
    <w:pPr>
      <w:spacing w:beforeLines="50" w:afterLines="50" w:line="360" w:lineRule="auto"/>
      <w:ind w:firstLine="482" w:firstLineChars="200"/>
      <w:jc w:val="left"/>
    </w:pPr>
    <w:rPr>
      <w:rFonts w:ascii="楷体" w:hAnsi="楷体" w:eastAsia="楷体" w:cs="Times New Roman"/>
      <w:b/>
      <w:sz w:val="24"/>
      <w:szCs w:val="32"/>
    </w:rPr>
  </w:style>
  <w:style w:type="paragraph" w:customStyle="1" w:styleId="481">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482">
    <w:name w:val="姜文清定义的正文"/>
    <w:basedOn w:val="1"/>
    <w:qFormat/>
    <w:uiPriority w:val="0"/>
    <w:pPr>
      <w:spacing w:line="500" w:lineRule="atLeast"/>
      <w:ind w:firstLine="567"/>
    </w:pPr>
    <w:rPr>
      <w:rFonts w:ascii="Times New Roman" w:hAnsi="Times New Roman" w:eastAsia="宋体" w:cs="Times New Roman"/>
      <w:sz w:val="28"/>
      <w:szCs w:val="20"/>
    </w:rPr>
  </w:style>
  <w:style w:type="paragraph" w:customStyle="1" w:styleId="483">
    <w:name w:val="标题二"/>
    <w:basedOn w:val="4"/>
    <w:qFormat/>
    <w:uiPriority w:val="0"/>
    <w:pPr>
      <w:keepNext w:val="0"/>
      <w:keepLines w:val="0"/>
      <w:numPr>
        <w:ilvl w:val="0"/>
        <w:numId w:val="6"/>
      </w:numPr>
      <w:tabs>
        <w:tab w:val="left" w:pos="0"/>
      </w:tabs>
      <w:snapToGrid w:val="0"/>
      <w:spacing w:beforeLines="100" w:afterLines="100" w:line="460" w:lineRule="exact"/>
      <w:ind w:firstLine="200" w:firstLineChars="200"/>
      <w:jc w:val="center"/>
    </w:pPr>
    <w:rPr>
      <w:rFonts w:ascii="方正小标宋简体" w:hAnsi="Cambria" w:eastAsia="黑体"/>
      <w:b w:val="0"/>
      <w:sz w:val="32"/>
      <w:szCs w:val="30"/>
    </w:rPr>
  </w:style>
  <w:style w:type="paragraph" w:customStyle="1" w:styleId="484">
    <w:name w:val="font6"/>
    <w:basedOn w:val="1"/>
    <w:qFormat/>
    <w:uiPriority w:val="0"/>
    <w:pPr>
      <w:widowControl/>
      <w:spacing w:before="100" w:beforeAutospacing="1" w:after="100" w:afterAutospacing="1"/>
      <w:jc w:val="left"/>
    </w:pPr>
    <w:rPr>
      <w:rFonts w:ascii="宋体" w:hAnsi="宋体" w:eastAsia="宋体" w:cs="宋体"/>
      <w:color w:val="000000"/>
      <w:kern w:val="0"/>
      <w:sz w:val="18"/>
      <w:szCs w:val="18"/>
    </w:rPr>
  </w:style>
  <w:style w:type="paragraph" w:customStyle="1" w:styleId="485">
    <w:name w:val="列出段落2"/>
    <w:basedOn w:val="1"/>
    <w:qFormat/>
    <w:uiPriority w:val="34"/>
    <w:pPr>
      <w:spacing w:line="360" w:lineRule="auto"/>
      <w:ind w:firstLine="420" w:firstLineChars="200"/>
    </w:pPr>
    <w:rPr>
      <w:rFonts w:ascii="Times New Roman" w:hAnsi="Times New Roman" w:eastAsia="仿宋" w:cs="Times New Roman"/>
      <w:sz w:val="24"/>
      <w:szCs w:val="21"/>
    </w:rPr>
  </w:style>
  <w:style w:type="paragraph" w:customStyle="1" w:styleId="486">
    <w:name w:val="表"/>
    <w:basedOn w:val="1"/>
    <w:qFormat/>
    <w:uiPriority w:val="0"/>
    <w:pPr>
      <w:jc w:val="center"/>
    </w:pPr>
    <w:rPr>
      <w:rFonts w:ascii="宋体" w:hAnsi="宋体" w:eastAsia="宋体" w:cs="Times New Roman"/>
      <w:bCs/>
      <w:color w:val="000000"/>
      <w:szCs w:val="21"/>
    </w:rPr>
  </w:style>
  <w:style w:type="paragraph" w:customStyle="1" w:styleId="487">
    <w:name w:val="WPSOffice手动目录 1"/>
    <w:qFormat/>
    <w:uiPriority w:val="0"/>
    <w:rPr>
      <w:rFonts w:ascii="Times New Roman" w:hAnsi="Times New Roman" w:eastAsia="宋体" w:cs="Times New Roman"/>
      <w:lang w:val="en-US" w:eastAsia="zh-CN" w:bidi="ar-SA"/>
    </w:rPr>
  </w:style>
  <w:style w:type="paragraph" w:customStyle="1" w:styleId="488">
    <w:name w:val="font13"/>
    <w:basedOn w:val="1"/>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489">
    <w:name w:val="Char Char Char Char"/>
    <w:basedOn w:val="1"/>
    <w:qFormat/>
    <w:uiPriority w:val="0"/>
    <w:pPr>
      <w:widowControl/>
      <w:spacing w:after="160" w:line="240" w:lineRule="exact"/>
      <w:jc w:val="left"/>
    </w:pPr>
    <w:rPr>
      <w:rFonts w:ascii="Verdana" w:hAnsi="Verdana" w:eastAsia="宋体" w:cs="宋体"/>
      <w:kern w:val="0"/>
      <w:sz w:val="20"/>
      <w:szCs w:val="24"/>
      <w:lang w:eastAsia="en-US"/>
    </w:rPr>
  </w:style>
  <w:style w:type="paragraph" w:customStyle="1" w:styleId="490">
    <w:name w:val="表头、图头"/>
    <w:basedOn w:val="1"/>
    <w:qFormat/>
    <w:uiPriority w:val="0"/>
    <w:pPr>
      <w:spacing w:line="360" w:lineRule="auto"/>
      <w:jc w:val="center"/>
    </w:pPr>
    <w:rPr>
      <w:rFonts w:ascii="宋体" w:hAnsi="宋体" w:eastAsia="宋体" w:cs="黑体"/>
      <w:b/>
      <w:bCs/>
      <w:szCs w:val="24"/>
    </w:rPr>
  </w:style>
  <w:style w:type="paragraph" w:customStyle="1" w:styleId="491">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492">
    <w:name w:val="font16"/>
    <w:basedOn w:val="1"/>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493">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494">
    <w:name w:val="Char Char1 Char"/>
    <w:basedOn w:val="1"/>
    <w:qFormat/>
    <w:uiPriority w:val="0"/>
    <w:pPr>
      <w:widowControl/>
      <w:jc w:val="left"/>
    </w:pPr>
    <w:rPr>
      <w:rFonts w:ascii="宋体" w:hAnsi="宋体" w:eastAsia="宋体" w:cs="宋体"/>
      <w:kern w:val="0"/>
      <w:sz w:val="24"/>
      <w:szCs w:val="24"/>
    </w:rPr>
  </w:style>
  <w:style w:type="paragraph" w:customStyle="1" w:styleId="495">
    <w:name w:val="p19"/>
    <w:basedOn w:val="1"/>
    <w:qFormat/>
    <w:uiPriority w:val="0"/>
    <w:pPr>
      <w:widowControl/>
      <w:ind w:firstLine="420"/>
      <w:jc w:val="left"/>
    </w:pPr>
    <w:rPr>
      <w:rFonts w:ascii="Calibri" w:hAnsi="Calibri" w:eastAsia="宋体" w:cs="宋体"/>
      <w:kern w:val="0"/>
      <w:sz w:val="24"/>
      <w:szCs w:val="21"/>
    </w:rPr>
  </w:style>
  <w:style w:type="paragraph" w:customStyle="1" w:styleId="496">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table" w:customStyle="1" w:styleId="497">
    <w:name w:val="网格型1"/>
    <w:basedOn w:val="4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98">
    <w:name w:val="TOC 标题21"/>
    <w:basedOn w:val="4"/>
    <w:next w:val="1"/>
    <w:qFormat/>
    <w:uiPriority w:val="39"/>
    <w:pPr>
      <w:widowControl/>
      <w:spacing w:before="240" w:after="0" w:line="259" w:lineRule="auto"/>
      <w:jc w:val="left"/>
      <w:outlineLvl w:val="9"/>
    </w:pPr>
    <w:rPr>
      <w:rFonts w:ascii="Cambria" w:hAnsi="Cambria"/>
      <w:b w:val="0"/>
      <w:bCs w:val="0"/>
      <w:color w:val="365F91"/>
      <w:kern w:val="0"/>
      <w:sz w:val="32"/>
      <w:szCs w:val="32"/>
    </w:rPr>
  </w:style>
  <w:style w:type="paragraph" w:customStyle="1" w:styleId="499">
    <w:name w:val="修订3"/>
    <w:hidden/>
    <w:qFormat/>
    <w:uiPriority w:val="99"/>
    <w:rPr>
      <w:rFonts w:asciiTheme="minorHAnsi" w:hAnsiTheme="minorHAnsi" w:eastAsiaTheme="minorEastAsia" w:cstheme="minorBidi"/>
      <w:kern w:val="2"/>
      <w:sz w:val="21"/>
      <w:szCs w:val="22"/>
      <w:lang w:val="en-US" w:eastAsia="zh-CN" w:bidi="ar-SA"/>
    </w:rPr>
  </w:style>
  <w:style w:type="paragraph" w:customStyle="1" w:styleId="500">
    <w:name w:val="Char Char4 Char Char"/>
    <w:basedOn w:val="1"/>
    <w:qFormat/>
    <w:uiPriority w:val="0"/>
    <w:rPr>
      <w:rFonts w:ascii="Tahoma" w:hAnsi="Tahoma" w:eastAsia="宋体" w:cs="Times New Roman"/>
      <w:sz w:val="24"/>
      <w:szCs w:val="20"/>
    </w:rPr>
  </w:style>
  <w:style w:type="character" w:customStyle="1" w:styleId="501">
    <w:name w:val="A三1 Char"/>
    <w:link w:val="502"/>
    <w:qFormat/>
    <w:uiPriority w:val="0"/>
    <w:rPr>
      <w:rFonts w:ascii="仿宋_GB2312" w:hAnsi="Arial" w:eastAsia="仿宋_GB2312"/>
      <w:b/>
      <w:bCs/>
      <w:sz w:val="36"/>
      <w:szCs w:val="36"/>
    </w:rPr>
  </w:style>
  <w:style w:type="paragraph" w:customStyle="1" w:styleId="502">
    <w:name w:val="A三1"/>
    <w:basedOn w:val="5"/>
    <w:link w:val="501"/>
    <w:qFormat/>
    <w:uiPriority w:val="0"/>
    <w:pPr>
      <w:tabs>
        <w:tab w:val="clear" w:pos="1440"/>
      </w:tabs>
      <w:adjustRightInd/>
      <w:spacing w:beforeLines="50" w:afterLines="50" w:line="360" w:lineRule="auto"/>
      <w:ind w:left="1504" w:hanging="794"/>
      <w:jc w:val="center"/>
      <w:outlineLvl w:val="2"/>
    </w:pPr>
    <w:rPr>
      <w:rFonts w:ascii="仿宋_GB2312" w:hAnsi="Arial" w:eastAsia="仿宋_GB2312" w:cstheme="minorBidi"/>
      <w:kern w:val="2"/>
      <w:sz w:val="36"/>
      <w:szCs w:val="36"/>
    </w:rPr>
  </w:style>
  <w:style w:type="character" w:customStyle="1" w:styleId="503">
    <w:name w:val="A正1 Char"/>
    <w:link w:val="504"/>
    <w:qFormat/>
    <w:uiPriority w:val="0"/>
    <w:rPr>
      <w:rFonts w:eastAsia="仿宋_GB2312"/>
      <w:sz w:val="32"/>
      <w:szCs w:val="32"/>
    </w:rPr>
  </w:style>
  <w:style w:type="paragraph" w:customStyle="1" w:styleId="504">
    <w:name w:val="A正1"/>
    <w:basedOn w:val="1"/>
    <w:link w:val="503"/>
    <w:qFormat/>
    <w:uiPriority w:val="0"/>
    <w:pPr>
      <w:spacing w:line="360" w:lineRule="auto"/>
      <w:ind w:firstLine="640" w:firstLineChars="200"/>
    </w:pPr>
    <w:rPr>
      <w:rFonts w:eastAsia="仿宋_GB2312"/>
      <w:sz w:val="32"/>
      <w:szCs w:val="32"/>
    </w:rPr>
  </w:style>
  <w:style w:type="paragraph" w:customStyle="1" w:styleId="505">
    <w:name w:val="Char Char Char"/>
    <w:basedOn w:val="1"/>
    <w:qFormat/>
    <w:uiPriority w:val="0"/>
    <w:rPr>
      <w:rFonts w:ascii="Times New Roman" w:hAnsi="Times New Roman" w:eastAsia="宋体" w:cs="Times New Roman"/>
      <w:szCs w:val="20"/>
    </w:rPr>
  </w:style>
  <w:style w:type="paragraph" w:customStyle="1" w:styleId="506">
    <w:name w:val="Char Char Char Char Char Char Char Char Char Char"/>
    <w:basedOn w:val="1"/>
    <w:qFormat/>
    <w:uiPriority w:val="0"/>
    <w:pPr>
      <w:widowControl/>
      <w:spacing w:after="160" w:line="240" w:lineRule="exact"/>
      <w:jc w:val="left"/>
    </w:pPr>
    <w:rPr>
      <w:rFonts w:ascii="Verdana" w:hAnsi="Verdana" w:eastAsia="仿宋_GB2312" w:cs="Times New Roman"/>
      <w:kern w:val="0"/>
      <w:sz w:val="30"/>
      <w:szCs w:val="30"/>
      <w:lang w:eastAsia="en-US"/>
    </w:rPr>
  </w:style>
  <w:style w:type="character" w:customStyle="1" w:styleId="507">
    <w:name w:val="（0）正文 Char"/>
    <w:link w:val="508"/>
    <w:qFormat/>
    <w:uiPriority w:val="0"/>
    <w:rPr>
      <w:sz w:val="24"/>
      <w:szCs w:val="24"/>
    </w:rPr>
  </w:style>
  <w:style w:type="paragraph" w:customStyle="1" w:styleId="508">
    <w:name w:val="（0）正文"/>
    <w:basedOn w:val="1"/>
    <w:link w:val="507"/>
    <w:qFormat/>
    <w:uiPriority w:val="0"/>
    <w:pPr>
      <w:spacing w:line="360" w:lineRule="auto"/>
      <w:ind w:firstLine="200" w:firstLineChars="200"/>
    </w:pPr>
    <w:rPr>
      <w:sz w:val="24"/>
      <w:szCs w:val="24"/>
    </w:rPr>
  </w:style>
  <w:style w:type="character" w:customStyle="1" w:styleId="509">
    <w:name w:val="称呼 字符1"/>
    <w:link w:val="18"/>
    <w:qFormat/>
    <w:uiPriority w:val="0"/>
    <w:rPr>
      <w:rFonts w:ascii="Times New Roman" w:hAnsi="Times New Roman" w:eastAsia="宋体" w:cs="Times New Roman"/>
    </w:rPr>
  </w:style>
  <w:style w:type="character" w:customStyle="1" w:styleId="510">
    <w:name w:val="称呼 字符"/>
    <w:basedOn w:val="44"/>
    <w:qFormat/>
    <w:uiPriority w:val="0"/>
  </w:style>
  <w:style w:type="character" w:customStyle="1" w:styleId="511">
    <w:name w:val="称呼 Char"/>
    <w:qFormat/>
    <w:uiPriority w:val="99"/>
    <w:rPr>
      <w:rFonts w:ascii="Times New Roman" w:hAnsi="Times New Roman" w:eastAsia="宋体" w:cs="Times New Roman"/>
      <w:kern w:val="2"/>
      <w:sz w:val="21"/>
    </w:rPr>
  </w:style>
  <w:style w:type="paragraph" w:customStyle="1" w:styleId="512">
    <w:name w:val="修订4"/>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513">
    <w:name w:val="样式5"/>
    <w:basedOn w:val="439"/>
    <w:qFormat/>
    <w:uiPriority w:val="0"/>
    <w:pPr>
      <w:keepNext w:val="0"/>
      <w:tabs>
        <w:tab w:val="clear" w:pos="360"/>
        <w:tab w:val="clear" w:pos="420"/>
      </w:tabs>
      <w:spacing w:before="240" w:beforeLines="100" w:after="240" w:afterLines="100" w:line="560" w:lineRule="exact"/>
      <w:ind w:firstLine="0" w:firstLineChars="0"/>
      <w:jc w:val="both"/>
      <w:outlineLvl w:val="2"/>
    </w:pPr>
    <w:rPr>
      <w:rFonts w:ascii="黑体" w:hAnsi="黑体" w:cs="黑体"/>
      <w:bCs/>
      <w:kern w:val="44"/>
      <w:sz w:val="32"/>
      <w:szCs w:val="32"/>
      <w:u w:val="none"/>
    </w:rPr>
  </w:style>
  <w:style w:type="character" w:customStyle="1" w:styleId="514">
    <w:name w:val="fontstyle21"/>
    <w:basedOn w:val="44"/>
    <w:qFormat/>
    <w:uiPriority w:val="0"/>
    <w:rPr>
      <w:rFonts w:hint="eastAsia" w:ascii="TimesNewRomanPSMT" w:eastAsia="TimesNewRomanPSMT"/>
      <w:color w:val="000000"/>
      <w:sz w:val="18"/>
      <w:szCs w:val="18"/>
    </w:rPr>
  </w:style>
  <w:style w:type="character" w:customStyle="1" w:styleId="515">
    <w:name w:val="批注文字 字符4"/>
    <w:qFormat/>
    <w:uiPriority w:val="0"/>
    <w:rPr>
      <w:kern w:val="2"/>
      <w:sz w:val="24"/>
    </w:rPr>
  </w:style>
  <w:style w:type="character" w:customStyle="1" w:styleId="516">
    <w:name w:val="已访问的超链接1"/>
    <w:qFormat/>
    <w:uiPriority w:val="0"/>
    <w:rPr>
      <w:color w:val="800080"/>
      <w:u w:val="single"/>
    </w:rPr>
  </w:style>
  <w:style w:type="character" w:customStyle="1" w:styleId="517">
    <w:name w:val="副标题 字符3"/>
    <w:qFormat/>
    <w:uiPriority w:val="11"/>
    <w:rPr>
      <w:rFonts w:ascii="Cambria" w:hAnsi="Cambria"/>
      <w:b/>
      <w:bCs/>
      <w:kern w:val="28"/>
      <w:sz w:val="32"/>
      <w:szCs w:val="32"/>
    </w:rPr>
  </w:style>
  <w:style w:type="character" w:customStyle="1" w:styleId="518">
    <w:name w:val="标题 2 字符4"/>
    <w:qFormat/>
    <w:uiPriority w:val="0"/>
    <w:rPr>
      <w:rFonts w:ascii="Cambria" w:hAnsi="Cambria" w:cs="宋体"/>
      <w:b/>
      <w:bCs/>
      <w:kern w:val="2"/>
      <w:sz w:val="30"/>
      <w:szCs w:val="30"/>
    </w:rPr>
  </w:style>
  <w:style w:type="character" w:customStyle="1" w:styleId="519">
    <w:name w:val="cur1"/>
    <w:qFormat/>
    <w:uiPriority w:val="0"/>
    <w:rPr>
      <w:color w:val="FFFFFF"/>
      <w:shd w:val="clear" w:color="auto" w:fill="0C79CC"/>
    </w:rPr>
  </w:style>
  <w:style w:type="character" w:customStyle="1" w:styleId="520">
    <w:name w:val="EDIT 黑体 Char Char"/>
    <w:link w:val="521"/>
    <w:qFormat/>
    <w:locked/>
    <w:uiPriority w:val="99"/>
    <w:rPr>
      <w:rFonts w:eastAsia="黑体" w:cs="Arial"/>
      <w:kern w:val="2"/>
      <w:sz w:val="32"/>
      <w:szCs w:val="24"/>
    </w:rPr>
  </w:style>
  <w:style w:type="paragraph" w:customStyle="1" w:styleId="521">
    <w:name w:val="EDIT 黑体"/>
    <w:link w:val="520"/>
    <w:qFormat/>
    <w:uiPriority w:val="99"/>
    <w:pPr>
      <w:widowControl w:val="0"/>
      <w:tabs>
        <w:tab w:val="left" w:pos="6825"/>
      </w:tabs>
      <w:snapToGrid w:val="0"/>
      <w:spacing w:line="566" w:lineRule="atLeast"/>
      <w:ind w:firstLine="200" w:firstLineChars="200"/>
      <w:jc w:val="both"/>
    </w:pPr>
    <w:rPr>
      <w:rFonts w:eastAsia="黑体" w:cs="Arial" w:asciiTheme="minorHAnsi" w:hAnsiTheme="minorHAnsi"/>
      <w:kern w:val="2"/>
      <w:sz w:val="32"/>
      <w:szCs w:val="24"/>
      <w:lang w:val="en-US" w:eastAsia="zh-CN" w:bidi="ar-SA"/>
    </w:rPr>
  </w:style>
  <w:style w:type="character" w:customStyle="1" w:styleId="522">
    <w:name w:val="正文文本缩进 2 Char1"/>
    <w:qFormat/>
    <w:uiPriority w:val="99"/>
    <w:rPr>
      <w:rFonts w:cs="宋体"/>
      <w:kern w:val="2"/>
      <w:sz w:val="24"/>
      <w:szCs w:val="24"/>
    </w:rPr>
  </w:style>
  <w:style w:type="character" w:customStyle="1" w:styleId="523">
    <w:name w:val="fontstyle11"/>
    <w:qFormat/>
    <w:uiPriority w:val="0"/>
    <w:rPr>
      <w:rFonts w:hint="eastAsia" w:ascii="黑体" w:hAnsi="黑体" w:eastAsia="黑体"/>
      <w:color w:val="000000"/>
      <w:sz w:val="22"/>
      <w:szCs w:val="22"/>
    </w:rPr>
  </w:style>
  <w:style w:type="character" w:customStyle="1" w:styleId="524">
    <w:name w:val="纯文本 Char1"/>
    <w:qFormat/>
    <w:uiPriority w:val="99"/>
    <w:rPr>
      <w:rFonts w:ascii="宋体" w:hAnsi="Courier New" w:cs="Courier New"/>
      <w:kern w:val="2"/>
      <w:sz w:val="21"/>
      <w:szCs w:val="21"/>
    </w:rPr>
  </w:style>
  <w:style w:type="character" w:customStyle="1" w:styleId="525">
    <w:name w:val="脚注文本 字符3"/>
    <w:qFormat/>
    <w:uiPriority w:val="99"/>
    <w:rPr>
      <w:rFonts w:ascii="宋体" w:hAnsi="宋体"/>
      <w:sz w:val="18"/>
      <w:szCs w:val="24"/>
    </w:rPr>
  </w:style>
  <w:style w:type="character" w:customStyle="1" w:styleId="526">
    <w:name w:val="bjh-strong"/>
    <w:qFormat/>
    <w:uiPriority w:val="0"/>
  </w:style>
  <w:style w:type="character" w:customStyle="1" w:styleId="527">
    <w:name w:val="日期 Char1"/>
    <w:qFormat/>
    <w:uiPriority w:val="0"/>
    <w:rPr>
      <w:rFonts w:cs="宋体"/>
      <w:kern w:val="2"/>
      <w:sz w:val="24"/>
      <w:szCs w:val="24"/>
    </w:rPr>
  </w:style>
  <w:style w:type="character" w:customStyle="1" w:styleId="528">
    <w:name w:val="M表中字体 Char"/>
    <w:link w:val="529"/>
    <w:qFormat/>
    <w:uiPriority w:val="0"/>
  </w:style>
  <w:style w:type="paragraph" w:customStyle="1" w:styleId="529">
    <w:name w:val="M表中字体"/>
    <w:link w:val="528"/>
    <w:qFormat/>
    <w:uiPriority w:val="0"/>
    <w:pPr>
      <w:jc w:val="center"/>
    </w:pPr>
    <w:rPr>
      <w:rFonts w:asciiTheme="minorHAnsi" w:hAnsiTheme="minorHAnsi" w:eastAsiaTheme="minorEastAsia" w:cstheme="minorBidi"/>
      <w:lang w:val="en-US" w:eastAsia="zh-CN" w:bidi="ar-SA"/>
    </w:rPr>
  </w:style>
  <w:style w:type="character" w:customStyle="1" w:styleId="530">
    <w:name w:val="radio-btn"/>
    <w:basedOn w:val="44"/>
    <w:qFormat/>
    <w:uiPriority w:val="0"/>
  </w:style>
  <w:style w:type="character" w:customStyle="1" w:styleId="531">
    <w:name w:val="日期 字符2"/>
    <w:qFormat/>
    <w:uiPriority w:val="99"/>
    <w:rPr>
      <w:rFonts w:ascii="Times New Roman" w:hAnsi="Times New Roman"/>
      <w:sz w:val="28"/>
      <w:szCs w:val="24"/>
    </w:rPr>
  </w:style>
  <w:style w:type="character" w:customStyle="1" w:styleId="532">
    <w:name w:val="批注框文本 字符4"/>
    <w:qFormat/>
    <w:uiPriority w:val="0"/>
    <w:rPr>
      <w:kern w:val="2"/>
      <w:sz w:val="18"/>
      <w:szCs w:val="18"/>
    </w:rPr>
  </w:style>
  <w:style w:type="character" w:customStyle="1" w:styleId="533">
    <w:name w:val="副标题 Char1"/>
    <w:qFormat/>
    <w:uiPriority w:val="0"/>
    <w:rPr>
      <w:rFonts w:ascii="Cambria" w:hAnsi="Cambria" w:cs="Times New Roman"/>
      <w:b/>
      <w:bCs/>
      <w:kern w:val="28"/>
      <w:sz w:val="32"/>
      <w:szCs w:val="32"/>
    </w:rPr>
  </w:style>
  <w:style w:type="character" w:customStyle="1" w:styleId="534">
    <w:name w:val="hover28"/>
    <w:basedOn w:val="44"/>
    <w:qFormat/>
    <w:uiPriority w:val="0"/>
  </w:style>
  <w:style w:type="character" w:customStyle="1" w:styleId="535">
    <w:name w:val="批注框文本 字符3"/>
    <w:qFormat/>
    <w:uiPriority w:val="0"/>
    <w:rPr>
      <w:kern w:val="2"/>
      <w:sz w:val="18"/>
      <w:szCs w:val="18"/>
    </w:rPr>
  </w:style>
  <w:style w:type="character" w:customStyle="1" w:styleId="536">
    <w:name w:val="页眉 字符3"/>
    <w:qFormat/>
    <w:uiPriority w:val="99"/>
    <w:rPr>
      <w:rFonts w:cs="宋体"/>
      <w:kern w:val="2"/>
      <w:sz w:val="18"/>
      <w:szCs w:val="18"/>
    </w:rPr>
  </w:style>
  <w:style w:type="character" w:customStyle="1" w:styleId="537">
    <w:name w:val="标题 字符4"/>
    <w:qFormat/>
    <w:uiPriority w:val="10"/>
    <w:rPr>
      <w:rFonts w:ascii="Calibri Light" w:hAnsi="Calibri Light"/>
      <w:b/>
      <w:bCs/>
      <w:sz w:val="36"/>
      <w:szCs w:val="32"/>
    </w:rPr>
  </w:style>
  <w:style w:type="character" w:customStyle="1" w:styleId="538">
    <w:name w:val="页脚 字符4"/>
    <w:qFormat/>
    <w:uiPriority w:val="0"/>
    <w:rPr>
      <w:rFonts w:cs="宋体"/>
      <w:kern w:val="2"/>
      <w:sz w:val="18"/>
      <w:szCs w:val="18"/>
    </w:rPr>
  </w:style>
  <w:style w:type="character" w:customStyle="1" w:styleId="539">
    <w:name w:val="M图标题 Char"/>
    <w:link w:val="540"/>
    <w:qFormat/>
    <w:uiPriority w:val="0"/>
    <w:rPr>
      <w:rFonts w:eastAsia="黑体"/>
      <w:b/>
      <w:bCs/>
      <w:sz w:val="24"/>
      <w:szCs w:val="24"/>
    </w:rPr>
  </w:style>
  <w:style w:type="paragraph" w:customStyle="1" w:styleId="540">
    <w:name w:val="M图标题"/>
    <w:next w:val="60"/>
    <w:link w:val="539"/>
    <w:qFormat/>
    <w:uiPriority w:val="0"/>
    <w:pPr>
      <w:adjustRightInd w:val="0"/>
      <w:snapToGrid w:val="0"/>
      <w:spacing w:line="360" w:lineRule="auto"/>
      <w:jc w:val="center"/>
    </w:pPr>
    <w:rPr>
      <w:rFonts w:eastAsia="黑体" w:asciiTheme="minorHAnsi" w:hAnsiTheme="minorHAnsi" w:cstheme="minorBidi"/>
      <w:b/>
      <w:bCs/>
      <w:sz w:val="24"/>
      <w:szCs w:val="24"/>
      <w:lang w:val="en-US" w:eastAsia="zh-CN" w:bidi="ar-SA"/>
    </w:rPr>
  </w:style>
  <w:style w:type="character" w:customStyle="1" w:styleId="541">
    <w:name w:val="页眉 Char1"/>
    <w:qFormat/>
    <w:locked/>
    <w:uiPriority w:val="99"/>
    <w:rPr>
      <w:rFonts w:eastAsia="宋体"/>
      <w:kern w:val="2"/>
      <w:sz w:val="18"/>
      <w:szCs w:val="18"/>
    </w:rPr>
  </w:style>
  <w:style w:type="character" w:customStyle="1" w:styleId="542">
    <w:name w:val="Body text|1_"/>
    <w:link w:val="543"/>
    <w:unhideWhenUsed/>
    <w:qFormat/>
    <w:uiPriority w:val="0"/>
    <w:rPr>
      <w:rFonts w:ascii="MingLiU" w:hAnsi="MingLiU" w:eastAsia="MingLiU"/>
      <w:lang w:val="zh-TW" w:eastAsia="zh-TW"/>
    </w:rPr>
  </w:style>
  <w:style w:type="paragraph" w:customStyle="1" w:styleId="543">
    <w:name w:val="Body text|1"/>
    <w:basedOn w:val="1"/>
    <w:link w:val="542"/>
    <w:unhideWhenUsed/>
    <w:qFormat/>
    <w:uiPriority w:val="0"/>
    <w:pPr>
      <w:widowControl/>
      <w:spacing w:line="413" w:lineRule="auto"/>
      <w:ind w:firstLine="400" w:firstLineChars="200"/>
    </w:pPr>
    <w:rPr>
      <w:rFonts w:ascii="MingLiU" w:hAnsi="MingLiU" w:eastAsia="MingLiU"/>
      <w:kern w:val="0"/>
      <w:sz w:val="20"/>
      <w:szCs w:val="20"/>
      <w:lang w:val="zh-TW" w:eastAsia="zh-TW"/>
    </w:rPr>
  </w:style>
  <w:style w:type="character" w:customStyle="1" w:styleId="544">
    <w:name w:val="纯文本 字符4"/>
    <w:qFormat/>
    <w:uiPriority w:val="99"/>
    <w:rPr>
      <w:rFonts w:ascii="宋体" w:hAnsi="Courier New"/>
    </w:rPr>
  </w:style>
  <w:style w:type="character" w:customStyle="1" w:styleId="545">
    <w:name w:val="标题 5 字符2"/>
    <w:qFormat/>
    <w:uiPriority w:val="0"/>
    <w:rPr>
      <w:rFonts w:ascii="宋体" w:hAnsi="宋体"/>
      <w:b/>
      <w:sz w:val="28"/>
      <w:szCs w:val="24"/>
    </w:rPr>
  </w:style>
  <w:style w:type="character" w:customStyle="1" w:styleId="546">
    <w:name w:val="标题 2 字符5"/>
    <w:qFormat/>
    <w:uiPriority w:val="0"/>
    <w:rPr>
      <w:rFonts w:ascii="Cambria" w:hAnsi="Cambria" w:eastAsia="楷体" w:cs="宋体"/>
      <w:b/>
      <w:bCs/>
      <w:kern w:val="2"/>
      <w:sz w:val="32"/>
      <w:szCs w:val="30"/>
    </w:rPr>
  </w:style>
  <w:style w:type="character" w:customStyle="1" w:styleId="547">
    <w:name w:val="M表标题 Char"/>
    <w:link w:val="548"/>
    <w:qFormat/>
    <w:uiPriority w:val="0"/>
    <w:rPr>
      <w:rFonts w:eastAsia="黑体"/>
      <w:b/>
      <w:bCs/>
      <w:sz w:val="24"/>
      <w:szCs w:val="24"/>
    </w:rPr>
  </w:style>
  <w:style w:type="paragraph" w:customStyle="1" w:styleId="548">
    <w:name w:val="M表标题"/>
    <w:next w:val="60"/>
    <w:link w:val="547"/>
    <w:qFormat/>
    <w:uiPriority w:val="0"/>
    <w:pPr>
      <w:keepNext/>
      <w:spacing w:line="360" w:lineRule="auto"/>
      <w:jc w:val="center"/>
    </w:pPr>
    <w:rPr>
      <w:rFonts w:eastAsia="黑体" w:asciiTheme="minorHAnsi" w:hAnsiTheme="minorHAnsi" w:cstheme="minorBidi"/>
      <w:b/>
      <w:bCs/>
      <w:sz w:val="24"/>
      <w:szCs w:val="24"/>
      <w:lang w:val="en-US" w:eastAsia="zh-CN" w:bidi="ar-SA"/>
    </w:rPr>
  </w:style>
  <w:style w:type="character" w:customStyle="1" w:styleId="549">
    <w:name w:val="hover34"/>
    <w:basedOn w:val="44"/>
    <w:qFormat/>
    <w:uiPriority w:val="0"/>
  </w:style>
  <w:style w:type="character" w:customStyle="1" w:styleId="550">
    <w:name w:val="标题 2 字符3"/>
    <w:qFormat/>
    <w:uiPriority w:val="0"/>
    <w:rPr>
      <w:rFonts w:ascii="Cambria" w:hAnsi="Cambria" w:cs="宋体"/>
      <w:b/>
      <w:bCs/>
      <w:kern w:val="2"/>
      <w:sz w:val="30"/>
      <w:szCs w:val="30"/>
    </w:rPr>
  </w:style>
  <w:style w:type="character" w:customStyle="1" w:styleId="551">
    <w:name w:val="正文文本缩进 字符3"/>
    <w:qFormat/>
    <w:uiPriority w:val="99"/>
    <w:rPr>
      <w:szCs w:val="24"/>
    </w:rPr>
  </w:style>
  <w:style w:type="character" w:customStyle="1" w:styleId="552">
    <w:name w:val="标题 6 字符3"/>
    <w:qFormat/>
    <w:uiPriority w:val="0"/>
    <w:rPr>
      <w:rFonts w:ascii="Arial" w:hAnsi="Arial" w:eastAsia="黑体"/>
      <w:b/>
      <w:sz w:val="24"/>
      <w:szCs w:val="24"/>
    </w:rPr>
  </w:style>
  <w:style w:type="character" w:customStyle="1" w:styleId="553">
    <w:name w:val="正文文本缩进 2 字符2"/>
    <w:qFormat/>
    <w:uiPriority w:val="99"/>
    <w:rPr>
      <w:sz w:val="28"/>
    </w:rPr>
  </w:style>
  <w:style w:type="character" w:customStyle="1" w:styleId="554">
    <w:name w:val="lable"/>
    <w:qFormat/>
    <w:uiPriority w:val="0"/>
    <w:rPr>
      <w:sz w:val="24"/>
      <w:szCs w:val="24"/>
    </w:rPr>
  </w:style>
  <w:style w:type="character" w:customStyle="1" w:styleId="555">
    <w:name w:val="标题 8 字符2"/>
    <w:qFormat/>
    <w:uiPriority w:val="0"/>
    <w:rPr>
      <w:rFonts w:ascii="Arial" w:hAnsi="Arial" w:eastAsia="黑体"/>
      <w:sz w:val="24"/>
      <w:szCs w:val="24"/>
    </w:rPr>
  </w:style>
  <w:style w:type="character" w:customStyle="1" w:styleId="556">
    <w:name w:val="标题 5 字符3"/>
    <w:qFormat/>
    <w:uiPriority w:val="0"/>
    <w:rPr>
      <w:rFonts w:ascii="宋体" w:hAnsi="宋体"/>
      <w:b/>
      <w:sz w:val="28"/>
      <w:szCs w:val="24"/>
    </w:rPr>
  </w:style>
  <w:style w:type="character" w:customStyle="1" w:styleId="557">
    <w:name w:val="批注文字 字符3"/>
    <w:qFormat/>
    <w:uiPriority w:val="0"/>
    <w:rPr>
      <w:kern w:val="2"/>
      <w:sz w:val="24"/>
    </w:rPr>
  </w:style>
  <w:style w:type="character" w:customStyle="1" w:styleId="558">
    <w:name w:val="正文文本首行缩进 2 字符1"/>
    <w:qFormat/>
    <w:uiPriority w:val="0"/>
    <w:rPr>
      <w:rFonts w:cs="宋体"/>
      <w:kern w:val="2"/>
      <w:sz w:val="24"/>
      <w:szCs w:val="24"/>
    </w:rPr>
  </w:style>
  <w:style w:type="character" w:customStyle="1" w:styleId="559">
    <w:name w:val="页脚 字符3"/>
    <w:qFormat/>
    <w:uiPriority w:val="0"/>
    <w:rPr>
      <w:rFonts w:cs="宋体"/>
      <w:kern w:val="2"/>
      <w:sz w:val="18"/>
      <w:szCs w:val="18"/>
    </w:rPr>
  </w:style>
  <w:style w:type="character" w:customStyle="1" w:styleId="560">
    <w:name w:val="标题 1 字符3"/>
    <w:qFormat/>
    <w:uiPriority w:val="0"/>
    <w:rPr>
      <w:b/>
      <w:bCs/>
      <w:kern w:val="44"/>
      <w:sz w:val="32"/>
      <w:szCs w:val="32"/>
    </w:rPr>
  </w:style>
  <w:style w:type="character" w:customStyle="1" w:styleId="561">
    <w:name w:val="正文文本 Char"/>
    <w:qFormat/>
    <w:uiPriority w:val="0"/>
    <w:rPr>
      <w:rFonts w:ascii="仿宋_GB2312" w:hAnsi="仿宋_GB2312" w:eastAsia="仿宋_GB2312" w:cs="仿宋_GB2312"/>
      <w:kern w:val="2"/>
      <w:sz w:val="32"/>
      <w:szCs w:val="32"/>
      <w:lang w:val="zh-CN" w:bidi="zh-CN"/>
    </w:rPr>
  </w:style>
  <w:style w:type="character" w:customStyle="1" w:styleId="562">
    <w:name w:val="标题 7 字符3"/>
    <w:qFormat/>
    <w:uiPriority w:val="0"/>
    <w:rPr>
      <w:rFonts w:ascii="宋体" w:hAnsi="宋体"/>
      <w:b/>
      <w:sz w:val="24"/>
      <w:szCs w:val="24"/>
    </w:rPr>
  </w:style>
  <w:style w:type="character" w:customStyle="1" w:styleId="563">
    <w:name w:val="bjh-p"/>
    <w:qFormat/>
    <w:uiPriority w:val="0"/>
  </w:style>
  <w:style w:type="character" w:customStyle="1" w:styleId="564">
    <w:name w:val="fontstyle41"/>
    <w:qFormat/>
    <w:uiPriority w:val="0"/>
    <w:rPr>
      <w:rFonts w:hint="default" w:ascii="仿宋" w:hAnsi="仿宋"/>
      <w:color w:val="000000"/>
      <w:sz w:val="30"/>
      <w:szCs w:val="30"/>
    </w:rPr>
  </w:style>
  <w:style w:type="character" w:customStyle="1" w:styleId="565">
    <w:name w:val="标题 9 字符2"/>
    <w:qFormat/>
    <w:uiPriority w:val="0"/>
    <w:rPr>
      <w:rFonts w:ascii="Arial" w:hAnsi="Arial" w:eastAsia="黑体"/>
      <w:sz w:val="24"/>
      <w:szCs w:val="24"/>
    </w:rPr>
  </w:style>
  <w:style w:type="character" w:customStyle="1" w:styleId="566">
    <w:name w:val="正文首行缩进 2 Char1"/>
    <w:link w:val="567"/>
    <w:qFormat/>
    <w:uiPriority w:val="0"/>
    <w:rPr>
      <w:rFonts w:cs="宋体"/>
      <w:kern w:val="2"/>
      <w:sz w:val="24"/>
      <w:szCs w:val="24"/>
    </w:rPr>
  </w:style>
  <w:style w:type="paragraph" w:customStyle="1" w:styleId="567">
    <w:name w:val="正文首行缩进 211"/>
    <w:basedOn w:val="568"/>
    <w:link w:val="566"/>
    <w:qFormat/>
    <w:uiPriority w:val="0"/>
    <w:rPr>
      <w:rFonts w:asciiTheme="minorHAnsi" w:hAnsiTheme="minorHAnsi" w:eastAsiaTheme="minorEastAsia"/>
      <w:szCs w:val="24"/>
    </w:rPr>
  </w:style>
  <w:style w:type="paragraph" w:customStyle="1" w:styleId="568">
    <w:name w:val="正文首行缩进 21"/>
    <w:basedOn w:val="60"/>
    <w:qFormat/>
    <w:uiPriority w:val="0"/>
    <w:pPr>
      <w:ind w:firstLine="420"/>
    </w:pPr>
    <w:rPr>
      <w:rFonts w:eastAsia="宋体" w:cs="宋体"/>
      <w:szCs w:val="20"/>
    </w:rPr>
  </w:style>
  <w:style w:type="character" w:customStyle="1" w:styleId="569">
    <w:name w:val="标题 3 字符4"/>
    <w:qFormat/>
    <w:uiPriority w:val="0"/>
    <w:rPr>
      <w:rFonts w:eastAsia="楷体"/>
      <w:b/>
      <w:bCs/>
      <w:kern w:val="2"/>
      <w:sz w:val="28"/>
      <w:szCs w:val="28"/>
    </w:rPr>
  </w:style>
  <w:style w:type="character" w:customStyle="1" w:styleId="570">
    <w:name w:val="脚注文本 Char1"/>
    <w:qFormat/>
    <w:uiPriority w:val="0"/>
    <w:rPr>
      <w:rFonts w:cs="宋体"/>
      <w:kern w:val="2"/>
      <w:sz w:val="18"/>
      <w:szCs w:val="18"/>
    </w:rPr>
  </w:style>
  <w:style w:type="character" w:customStyle="1" w:styleId="571">
    <w:name w:val="正文文本缩进 Char1"/>
    <w:qFormat/>
    <w:uiPriority w:val="99"/>
    <w:rPr>
      <w:rFonts w:cs="宋体"/>
      <w:kern w:val="2"/>
      <w:sz w:val="24"/>
      <w:szCs w:val="24"/>
    </w:rPr>
  </w:style>
  <w:style w:type="character" w:customStyle="1" w:styleId="572">
    <w:name w:val="fontstyle31"/>
    <w:qFormat/>
    <w:uiPriority w:val="0"/>
    <w:rPr>
      <w:rFonts w:hint="default" w:ascii="TimesNewRomanPSMT" w:hAnsi="TimesNewRomanPSMT"/>
      <w:color w:val="000000"/>
      <w:sz w:val="24"/>
      <w:szCs w:val="24"/>
    </w:rPr>
  </w:style>
  <w:style w:type="character" w:customStyle="1" w:styleId="573">
    <w:name w:val="标题 3 字符3"/>
    <w:qFormat/>
    <w:uiPriority w:val="0"/>
    <w:rPr>
      <w:b/>
      <w:bCs/>
      <w:kern w:val="2"/>
      <w:sz w:val="28"/>
      <w:szCs w:val="28"/>
    </w:rPr>
  </w:style>
  <w:style w:type="character" w:customStyle="1" w:styleId="574">
    <w:name w:val="日期 字符3"/>
    <w:qFormat/>
    <w:uiPriority w:val="99"/>
    <w:rPr>
      <w:rFonts w:ascii="Times New Roman" w:hAnsi="Times New Roman"/>
      <w:sz w:val="28"/>
      <w:szCs w:val="24"/>
    </w:rPr>
  </w:style>
  <w:style w:type="character" w:customStyle="1" w:styleId="575">
    <w:name w:val="fontstyle51"/>
    <w:qFormat/>
    <w:uiPriority w:val="0"/>
    <w:rPr>
      <w:rFonts w:hint="eastAsia" w:ascii="TimesNewRomanPSMT" w:eastAsia="TimesNewRomanPSMT"/>
      <w:color w:val="000000"/>
      <w:sz w:val="30"/>
      <w:szCs w:val="30"/>
    </w:rPr>
  </w:style>
  <w:style w:type="character" w:customStyle="1" w:styleId="576">
    <w:name w:val="标题 9 字符3"/>
    <w:qFormat/>
    <w:uiPriority w:val="0"/>
    <w:rPr>
      <w:rFonts w:ascii="Arial" w:hAnsi="Arial" w:eastAsia="黑体"/>
      <w:sz w:val="24"/>
      <w:szCs w:val="24"/>
    </w:rPr>
  </w:style>
  <w:style w:type="character" w:customStyle="1" w:styleId="577">
    <w:name w:val="表中文字 Char"/>
    <w:link w:val="463"/>
    <w:qFormat/>
    <w:locked/>
    <w:uiPriority w:val="99"/>
    <w:rPr>
      <w:rFonts w:ascii="Times New Roman" w:hAnsi="Times New Roman" w:eastAsia="仿宋_GB2312" w:cs="Times New Roman"/>
      <w:kern w:val="2"/>
      <w:sz w:val="24"/>
      <w:szCs w:val="21"/>
    </w:rPr>
  </w:style>
  <w:style w:type="character" w:customStyle="1" w:styleId="578">
    <w:name w:val="标题 6 字符2"/>
    <w:qFormat/>
    <w:uiPriority w:val="0"/>
    <w:rPr>
      <w:rFonts w:ascii="Arial" w:hAnsi="Arial" w:eastAsia="黑体"/>
      <w:b/>
      <w:sz w:val="24"/>
      <w:szCs w:val="24"/>
    </w:rPr>
  </w:style>
  <w:style w:type="character" w:customStyle="1" w:styleId="579">
    <w:name w:val="批注主题 字符3"/>
    <w:qFormat/>
    <w:uiPriority w:val="0"/>
    <w:rPr>
      <w:b/>
      <w:bCs/>
      <w:kern w:val="2"/>
      <w:sz w:val="24"/>
    </w:rPr>
  </w:style>
  <w:style w:type="character" w:customStyle="1" w:styleId="580">
    <w:name w:val="标题 8 字符3"/>
    <w:qFormat/>
    <w:uiPriority w:val="0"/>
    <w:rPr>
      <w:rFonts w:ascii="Arial" w:hAnsi="Arial" w:eastAsia="黑体"/>
      <w:sz w:val="24"/>
      <w:szCs w:val="24"/>
    </w:rPr>
  </w:style>
  <w:style w:type="character" w:customStyle="1" w:styleId="581">
    <w:name w:val="样式 仿宋_GB2312 四号 下划线"/>
    <w:qFormat/>
    <w:uiPriority w:val="0"/>
    <w:rPr>
      <w:rFonts w:ascii="仿宋_GB2312" w:hAnsi="仿宋_GB2312" w:eastAsia="仿宋"/>
      <w:sz w:val="28"/>
      <w:u w:val="single"/>
    </w:rPr>
  </w:style>
  <w:style w:type="character" w:customStyle="1" w:styleId="582">
    <w:name w:val="标题 7 字符2"/>
    <w:qFormat/>
    <w:uiPriority w:val="0"/>
    <w:rPr>
      <w:rFonts w:ascii="宋体" w:hAnsi="宋体"/>
      <w:b/>
      <w:sz w:val="24"/>
      <w:szCs w:val="24"/>
    </w:rPr>
  </w:style>
  <w:style w:type="character" w:customStyle="1" w:styleId="583">
    <w:name w:val="正文文本缩进 2 字符3"/>
    <w:qFormat/>
    <w:uiPriority w:val="99"/>
    <w:rPr>
      <w:sz w:val="28"/>
    </w:rPr>
  </w:style>
  <w:style w:type="character" w:customStyle="1" w:styleId="584">
    <w:name w:val="表格1 Char"/>
    <w:link w:val="585"/>
    <w:qFormat/>
    <w:uiPriority w:val="0"/>
    <w:rPr>
      <w:color w:val="7030A0"/>
      <w:sz w:val="18"/>
    </w:rPr>
  </w:style>
  <w:style w:type="paragraph" w:customStyle="1" w:styleId="585">
    <w:name w:val="表格1"/>
    <w:basedOn w:val="397"/>
    <w:link w:val="584"/>
    <w:qFormat/>
    <w:uiPriority w:val="0"/>
    <w:pPr>
      <w:keepNext w:val="0"/>
      <w:keepLines w:val="0"/>
      <w:tabs>
        <w:tab w:val="clear" w:pos="113"/>
      </w:tabs>
      <w:snapToGrid w:val="0"/>
      <w:spacing w:line="240" w:lineRule="exact"/>
      <w:ind w:left="0" w:firstLine="0" w:firstLineChars="200"/>
      <w:contextualSpacing/>
      <w:jc w:val="center"/>
      <w:outlineLvl w:val="9"/>
    </w:pPr>
    <w:rPr>
      <w:rFonts w:asciiTheme="minorHAnsi" w:hAnsiTheme="minorHAnsi" w:eastAsiaTheme="minorEastAsia" w:cstheme="minorBidi"/>
      <w:b w:val="0"/>
      <w:bCs w:val="0"/>
      <w:color w:val="7030A0"/>
      <w:kern w:val="0"/>
      <w:sz w:val="18"/>
      <w:szCs w:val="20"/>
    </w:rPr>
  </w:style>
  <w:style w:type="character" w:customStyle="1" w:styleId="586">
    <w:name w:val="正文文本 字符3"/>
    <w:qFormat/>
    <w:uiPriority w:val="0"/>
    <w:rPr>
      <w:rFonts w:ascii="仿宋_GB2312" w:hAnsi="仿宋_GB2312" w:eastAsia="仿宋_GB2312" w:cs="仿宋_GB2312"/>
      <w:kern w:val="2"/>
      <w:sz w:val="32"/>
      <w:szCs w:val="32"/>
      <w:lang w:val="zh-CN" w:bidi="zh-CN"/>
    </w:rPr>
  </w:style>
  <w:style w:type="paragraph" w:customStyle="1" w:styleId="587">
    <w:name w:val="图位 Alt+T"/>
    <w:next w:val="1"/>
    <w:qFormat/>
    <w:uiPriority w:val="0"/>
    <w:pPr>
      <w:adjustRightInd w:val="0"/>
      <w:snapToGrid w:val="0"/>
      <w:spacing w:line="0" w:lineRule="atLeast"/>
      <w:jc w:val="center"/>
    </w:pPr>
    <w:rPr>
      <w:rFonts w:ascii="Times New Roman" w:hAnsi="Times New Roman" w:eastAsia="宋体" w:cs="Times New Roman"/>
      <w:snapToGrid w:val="0"/>
      <w:color w:val="000000"/>
      <w:kern w:val="15"/>
      <w:sz w:val="15"/>
      <w:lang w:val="en-US" w:eastAsia="zh-CN" w:bidi="ar-SA"/>
    </w:rPr>
  </w:style>
  <w:style w:type="paragraph" w:customStyle="1" w:styleId="588">
    <w:name w:val="表格字体"/>
    <w:basedOn w:val="1"/>
    <w:qFormat/>
    <w:uiPriority w:val="0"/>
    <w:pPr>
      <w:widowControl/>
      <w:spacing w:line="360" w:lineRule="auto"/>
      <w:ind w:firstLine="562" w:firstLineChars="200"/>
      <w:jc w:val="left"/>
    </w:pPr>
    <w:rPr>
      <w:rFonts w:ascii="Times New Roman" w:hAnsi="Times New Roman" w:eastAsia="仿宋" w:cs="Calibri"/>
      <w:kern w:val="0"/>
      <w:szCs w:val="18"/>
    </w:rPr>
  </w:style>
  <w:style w:type="paragraph" w:customStyle="1" w:styleId="589">
    <w:name w:val="Table Paragraph"/>
    <w:basedOn w:val="1"/>
    <w:qFormat/>
    <w:uiPriority w:val="1"/>
    <w:pPr>
      <w:widowControl/>
      <w:spacing w:line="360" w:lineRule="auto"/>
      <w:ind w:firstLine="562" w:firstLineChars="200"/>
      <w:jc w:val="center"/>
    </w:pPr>
    <w:rPr>
      <w:rFonts w:ascii="宋体" w:hAnsi="宋体" w:eastAsia="仿宋" w:cs="宋体"/>
      <w:szCs w:val="21"/>
      <w:lang w:val="zh-CN" w:bidi="zh-CN"/>
    </w:rPr>
  </w:style>
  <w:style w:type="paragraph" w:customStyle="1" w:styleId="590">
    <w:name w:val="目录 51"/>
    <w:basedOn w:val="1"/>
    <w:next w:val="1"/>
    <w:qFormat/>
    <w:uiPriority w:val="39"/>
    <w:pPr>
      <w:spacing w:line="360" w:lineRule="auto"/>
      <w:ind w:left="1680" w:leftChars="800" w:firstLine="562" w:firstLineChars="200"/>
    </w:pPr>
    <w:rPr>
      <w:rFonts w:ascii="Times New Roman" w:hAnsi="Times New Roman" w:eastAsia="仿宋" w:cs="Calibri"/>
      <w:szCs w:val="21"/>
    </w:rPr>
  </w:style>
  <w:style w:type="paragraph" w:customStyle="1" w:styleId="591">
    <w:name w:val="目录 61"/>
    <w:basedOn w:val="1"/>
    <w:next w:val="1"/>
    <w:qFormat/>
    <w:uiPriority w:val="39"/>
    <w:pPr>
      <w:spacing w:line="360" w:lineRule="auto"/>
      <w:ind w:left="2100" w:leftChars="1000" w:firstLine="562" w:firstLineChars="200"/>
    </w:pPr>
    <w:rPr>
      <w:rFonts w:ascii="Times New Roman" w:hAnsi="Times New Roman" w:eastAsia="仿宋" w:cs="Calibri"/>
      <w:szCs w:val="21"/>
    </w:rPr>
  </w:style>
  <w:style w:type="paragraph" w:customStyle="1" w:styleId="592">
    <w:name w:val="节"/>
    <w:basedOn w:val="1"/>
    <w:qFormat/>
    <w:uiPriority w:val="0"/>
    <w:pPr>
      <w:spacing w:before="50" w:beforeLines="50" w:line="360" w:lineRule="auto"/>
      <w:ind w:firstLine="200" w:firstLineChars="200"/>
      <w:contextualSpacing/>
      <w:outlineLvl w:val="1"/>
    </w:pPr>
    <w:rPr>
      <w:rFonts w:ascii="Times New Roman" w:hAnsi="Times New Roman" w:eastAsia="黑体" w:cs="Times New Roman"/>
      <w:color w:val="000000"/>
      <w:sz w:val="32"/>
      <w:szCs w:val="30"/>
      <w:lang w:val="zh-CN" w:bidi="en-US"/>
    </w:rPr>
  </w:style>
  <w:style w:type="paragraph" w:customStyle="1" w:styleId="593">
    <w:name w:val="目录 111"/>
    <w:basedOn w:val="1"/>
    <w:next w:val="1"/>
    <w:qFormat/>
    <w:uiPriority w:val="39"/>
    <w:pPr>
      <w:widowControl/>
      <w:tabs>
        <w:tab w:val="right" w:leader="dot" w:pos="8296"/>
      </w:tabs>
      <w:spacing w:line="360" w:lineRule="auto"/>
      <w:ind w:firstLine="562" w:firstLineChars="200"/>
      <w:jc w:val="center"/>
    </w:pPr>
    <w:rPr>
      <w:rFonts w:ascii="Times New Roman" w:hAnsi="Times New Roman" w:eastAsia="仿宋" w:cs="宋体"/>
      <w:sz w:val="24"/>
      <w:szCs w:val="24"/>
    </w:rPr>
  </w:style>
  <w:style w:type="paragraph" w:customStyle="1" w:styleId="594">
    <w:name w:val="_Style 122"/>
    <w:basedOn w:val="3"/>
    <w:next w:val="568"/>
    <w:qFormat/>
    <w:uiPriority w:val="0"/>
    <w:pPr>
      <w:widowControl/>
      <w:spacing w:line="360" w:lineRule="auto"/>
      <w:ind w:firstLine="420" w:firstLineChars="200"/>
      <w:jc w:val="left"/>
    </w:pPr>
    <w:rPr>
      <w:rFonts w:ascii="Times New Roman" w:hAnsi="Times New Roman" w:eastAsia="宋体" w:cs="Times New Roman"/>
      <w:sz w:val="24"/>
      <w:szCs w:val="24"/>
    </w:rPr>
  </w:style>
  <w:style w:type="paragraph" w:customStyle="1" w:styleId="595">
    <w:name w:val="列出段落5"/>
    <w:basedOn w:val="1"/>
    <w:qFormat/>
    <w:uiPriority w:val="34"/>
    <w:pPr>
      <w:widowControl/>
      <w:spacing w:line="360" w:lineRule="auto"/>
      <w:ind w:firstLine="420" w:firstLineChars="200"/>
    </w:pPr>
    <w:rPr>
      <w:rFonts w:ascii="Times New Roman" w:hAnsi="Times New Roman" w:eastAsia="仿宋" w:cs="Calibri"/>
      <w:szCs w:val="21"/>
    </w:rPr>
  </w:style>
  <w:style w:type="paragraph" w:customStyle="1" w:styleId="596">
    <w:name w:val="1.1 层级 Alt+2"/>
    <w:next w:val="1"/>
    <w:qFormat/>
    <w:uiPriority w:val="0"/>
    <w:pPr>
      <w:keepNext/>
      <w:keepLines/>
      <w:adjustRightInd w:val="0"/>
      <w:snapToGrid w:val="0"/>
      <w:spacing w:beforeLines="100" w:afterLines="100" w:line="420" w:lineRule="atLeast"/>
      <w:ind w:left="636" w:hanging="210"/>
      <w:outlineLvl w:val="1"/>
    </w:pPr>
    <w:rPr>
      <w:rFonts w:ascii="Times New Roman" w:hAnsi="Times New Roman" w:eastAsia="仿宋" w:cs="Times New Roman"/>
      <w:color w:val="000000"/>
      <w:kern w:val="28"/>
      <w:sz w:val="28"/>
      <w:lang w:val="en-US" w:eastAsia="zh-CN" w:bidi="ar-SA"/>
    </w:rPr>
  </w:style>
  <w:style w:type="paragraph" w:customStyle="1" w:styleId="597">
    <w:name w:val="_Style 46"/>
    <w:basedOn w:val="1"/>
    <w:next w:val="1"/>
    <w:qFormat/>
    <w:uiPriority w:val="34"/>
    <w:pPr>
      <w:spacing w:line="360" w:lineRule="auto"/>
      <w:ind w:left="840" w:leftChars="400" w:firstLine="562" w:firstLineChars="200"/>
    </w:pPr>
    <w:rPr>
      <w:rFonts w:ascii="Times New Roman" w:hAnsi="Times New Roman" w:eastAsia="仿宋" w:cs="Times New Roman"/>
      <w:sz w:val="28"/>
      <w:szCs w:val="24"/>
    </w:rPr>
  </w:style>
  <w:style w:type="paragraph" w:customStyle="1" w:styleId="598">
    <w:name w:val="目录 41"/>
    <w:basedOn w:val="1"/>
    <w:next w:val="1"/>
    <w:qFormat/>
    <w:uiPriority w:val="39"/>
    <w:pPr>
      <w:spacing w:line="360" w:lineRule="auto"/>
      <w:ind w:left="1260" w:leftChars="600" w:firstLine="562" w:firstLineChars="200"/>
    </w:pPr>
    <w:rPr>
      <w:rFonts w:ascii="Times New Roman" w:hAnsi="Times New Roman" w:eastAsia="仿宋" w:cs="Calibri"/>
      <w:szCs w:val="21"/>
    </w:rPr>
  </w:style>
  <w:style w:type="paragraph" w:customStyle="1" w:styleId="599">
    <w:name w:val="_Style 170"/>
    <w:basedOn w:val="1"/>
    <w:next w:val="1"/>
    <w:unhideWhenUsed/>
    <w:qFormat/>
    <w:uiPriority w:val="39"/>
    <w:pPr>
      <w:ind w:left="3360" w:leftChars="1600"/>
    </w:pPr>
    <w:rPr>
      <w:rFonts w:ascii="Times New Roman" w:hAnsi="Times New Roman" w:eastAsia="宋体" w:cs="Arial"/>
    </w:rPr>
  </w:style>
  <w:style w:type="paragraph" w:customStyle="1" w:styleId="600">
    <w:name w:val="tubiaoziti"/>
    <w:basedOn w:val="588"/>
    <w:qFormat/>
    <w:uiPriority w:val="0"/>
    <w:pPr>
      <w:jc w:val="center"/>
    </w:pPr>
    <w:rPr>
      <w:b/>
      <w:sz w:val="24"/>
    </w:rPr>
  </w:style>
  <w:style w:type="paragraph" w:customStyle="1" w:styleId="601">
    <w:name w:val="bhq正文"/>
    <w:basedOn w:val="602"/>
    <w:qFormat/>
    <w:uiPriority w:val="0"/>
    <w:pPr>
      <w:adjustRightInd w:val="0"/>
      <w:snapToGrid w:val="0"/>
      <w:ind w:firstLine="567"/>
    </w:pPr>
    <w:rPr>
      <w:sz w:val="28"/>
    </w:rPr>
  </w:style>
  <w:style w:type="paragraph" w:customStyle="1" w:styleId="602">
    <w:name w:val="样式 宋体 首行缩进:  0.85 厘米1"/>
    <w:basedOn w:val="1"/>
    <w:qFormat/>
    <w:uiPriority w:val="0"/>
    <w:pPr>
      <w:widowControl/>
      <w:spacing w:line="360" w:lineRule="auto"/>
      <w:ind w:firstLine="680" w:firstLineChars="200"/>
    </w:pPr>
    <w:rPr>
      <w:rFonts w:ascii="宋体" w:hAnsi="宋体" w:eastAsia="仿宋" w:cs="Calibri"/>
      <w:sz w:val="24"/>
      <w:szCs w:val="21"/>
    </w:rPr>
  </w:style>
  <w:style w:type="paragraph" w:customStyle="1" w:styleId="603">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562" w:firstLineChars="200"/>
      <w:jc w:val="center"/>
    </w:pPr>
    <w:rPr>
      <w:rFonts w:ascii="宋体" w:hAnsi="宋体" w:eastAsia="仿宋" w:cs="宋体"/>
      <w:kern w:val="0"/>
      <w:sz w:val="20"/>
      <w:szCs w:val="20"/>
    </w:rPr>
  </w:style>
  <w:style w:type="paragraph" w:customStyle="1" w:styleId="604">
    <w:name w:val="Char Char Char Char1"/>
    <w:basedOn w:val="1"/>
    <w:qFormat/>
    <w:uiPriority w:val="0"/>
    <w:pPr>
      <w:widowControl/>
      <w:spacing w:after="160" w:line="240" w:lineRule="exact"/>
      <w:ind w:firstLine="562" w:firstLineChars="200"/>
      <w:jc w:val="left"/>
    </w:pPr>
    <w:rPr>
      <w:rFonts w:ascii="Times New Roman" w:hAnsi="Times New Roman" w:eastAsia="仿宋" w:cs="Times New Roman"/>
      <w:szCs w:val="24"/>
    </w:rPr>
  </w:style>
  <w:style w:type="paragraph" w:customStyle="1" w:styleId="605">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606">
    <w:name w:val="Char1"/>
    <w:basedOn w:val="1"/>
    <w:qFormat/>
    <w:uiPriority w:val="0"/>
    <w:pPr>
      <w:widowControl/>
      <w:spacing w:after="160" w:line="240" w:lineRule="exact"/>
      <w:ind w:firstLine="562" w:firstLineChars="200"/>
      <w:jc w:val="left"/>
      <w:textAlignment w:val="baseline"/>
    </w:pPr>
    <w:rPr>
      <w:rFonts w:ascii="Times New Roman" w:hAnsi="Times New Roman" w:eastAsia="仿宋" w:cs="Times New Roman"/>
      <w:szCs w:val="20"/>
    </w:rPr>
  </w:style>
  <w:style w:type="paragraph" w:customStyle="1" w:styleId="607">
    <w:name w:val="图题 Alt+L"/>
    <w:next w:val="1"/>
    <w:qFormat/>
    <w:uiPriority w:val="0"/>
    <w:pPr>
      <w:adjustRightInd w:val="0"/>
      <w:snapToGrid w:val="0"/>
      <w:spacing w:beforeLines="50" w:afterLines="50" w:line="270" w:lineRule="atLeast"/>
      <w:ind w:left="200" w:leftChars="200" w:right="200" w:rightChars="200"/>
      <w:jc w:val="center"/>
    </w:pPr>
    <w:rPr>
      <w:rFonts w:ascii="Times New Roman" w:hAnsi="Times New Roman" w:eastAsia="宋体" w:cs="Times New Roman"/>
      <w:snapToGrid w:val="0"/>
      <w:kern w:val="18"/>
      <w:sz w:val="18"/>
      <w:lang w:val="en-US" w:eastAsia="zh-CN" w:bidi="ar-SA"/>
    </w:rPr>
  </w:style>
  <w:style w:type="paragraph" w:customStyle="1" w:styleId="608">
    <w:name w:val="目录 71"/>
    <w:basedOn w:val="1"/>
    <w:next w:val="1"/>
    <w:qFormat/>
    <w:uiPriority w:val="39"/>
    <w:pPr>
      <w:spacing w:line="360" w:lineRule="auto"/>
      <w:ind w:left="2520" w:leftChars="1200" w:firstLine="562" w:firstLineChars="200"/>
    </w:pPr>
    <w:rPr>
      <w:rFonts w:ascii="Times New Roman" w:hAnsi="Times New Roman" w:eastAsia="仿宋" w:cs="Calibri"/>
      <w:szCs w:val="21"/>
    </w:rPr>
  </w:style>
  <w:style w:type="paragraph" w:customStyle="1" w:styleId="609">
    <w:name w:val="目录 81"/>
    <w:basedOn w:val="1"/>
    <w:next w:val="1"/>
    <w:qFormat/>
    <w:uiPriority w:val="39"/>
    <w:pPr>
      <w:spacing w:line="360" w:lineRule="auto"/>
      <w:ind w:left="2940" w:leftChars="1400" w:firstLine="562" w:firstLineChars="200"/>
    </w:pPr>
    <w:rPr>
      <w:rFonts w:ascii="Times New Roman" w:hAnsi="Times New Roman" w:eastAsia="仿宋" w:cs="Calibri"/>
      <w:szCs w:val="21"/>
    </w:rPr>
  </w:style>
  <w:style w:type="paragraph" w:customStyle="1" w:styleId="610">
    <w:name w:val="目录 21"/>
    <w:basedOn w:val="1"/>
    <w:next w:val="1"/>
    <w:qFormat/>
    <w:uiPriority w:val="39"/>
    <w:pPr>
      <w:widowControl/>
      <w:spacing w:line="360" w:lineRule="auto"/>
      <w:ind w:left="420" w:leftChars="200" w:firstLine="562" w:firstLineChars="200"/>
      <w:jc w:val="left"/>
    </w:pPr>
    <w:rPr>
      <w:rFonts w:ascii="Times New Roman" w:hAnsi="Times New Roman" w:eastAsia="仿宋" w:cs="宋体"/>
      <w:sz w:val="24"/>
      <w:szCs w:val="24"/>
    </w:rPr>
  </w:style>
  <w:style w:type="paragraph" w:customStyle="1" w:styleId="611">
    <w:name w:val="条"/>
    <w:basedOn w:val="1"/>
    <w:qFormat/>
    <w:uiPriority w:val="0"/>
    <w:pPr>
      <w:spacing w:before="50" w:beforeLines="50" w:line="360" w:lineRule="auto"/>
      <w:ind w:firstLine="200" w:firstLineChars="200"/>
      <w:contextualSpacing/>
      <w:outlineLvl w:val="2"/>
    </w:pPr>
    <w:rPr>
      <w:rFonts w:ascii="Times New Roman" w:hAnsi="Times New Roman" w:eastAsia="仿宋" w:cs="Times New Roman"/>
      <w:b/>
      <w:color w:val="000000"/>
      <w:sz w:val="28"/>
      <w:szCs w:val="28"/>
      <w:lang w:val="zh-CN" w:bidi="en-US"/>
    </w:rPr>
  </w:style>
  <w:style w:type="paragraph" w:customStyle="1" w:styleId="612">
    <w:name w:val="标题 21"/>
    <w:basedOn w:val="1"/>
    <w:qFormat/>
    <w:uiPriority w:val="1"/>
    <w:pPr>
      <w:autoSpaceDE w:val="0"/>
      <w:autoSpaceDN w:val="0"/>
      <w:spacing w:line="418" w:lineRule="auto"/>
      <w:ind w:left="617" w:hanging="451" w:firstLineChars="200"/>
      <w:jc w:val="left"/>
      <w:outlineLvl w:val="2"/>
    </w:pPr>
    <w:rPr>
      <w:rFonts w:ascii="仿宋" w:hAnsi="仿宋" w:eastAsia="仿宋" w:cs="仿宋"/>
      <w:kern w:val="0"/>
      <w:sz w:val="30"/>
      <w:szCs w:val="30"/>
      <w:lang w:eastAsia="en-US"/>
    </w:rPr>
  </w:style>
  <w:style w:type="paragraph" w:customStyle="1" w:styleId="613">
    <w:name w:val="目录 11"/>
    <w:basedOn w:val="1"/>
    <w:next w:val="1"/>
    <w:qFormat/>
    <w:uiPriority w:val="39"/>
    <w:pPr>
      <w:widowControl/>
      <w:spacing w:line="360" w:lineRule="auto"/>
      <w:ind w:firstLine="562" w:firstLineChars="200"/>
      <w:jc w:val="left"/>
    </w:pPr>
    <w:rPr>
      <w:rFonts w:ascii="Times New Roman" w:hAnsi="Times New Roman" w:eastAsia="仿宋" w:cs="宋体"/>
      <w:sz w:val="24"/>
      <w:szCs w:val="24"/>
    </w:rPr>
  </w:style>
  <w:style w:type="paragraph" w:customStyle="1" w:styleId="614">
    <w:name w:val="EDIT 仿宋"/>
    <w:qFormat/>
    <w:uiPriority w:val="99"/>
    <w:pPr>
      <w:widowControl w:val="0"/>
      <w:tabs>
        <w:tab w:val="left" w:pos="6825"/>
      </w:tabs>
      <w:snapToGrid w:val="0"/>
      <w:spacing w:line="566" w:lineRule="atLeast"/>
      <w:ind w:firstLine="200" w:firstLineChars="200"/>
      <w:jc w:val="both"/>
    </w:pPr>
    <w:rPr>
      <w:rFonts w:ascii="Times New Roman" w:hAnsi="Times New Roman" w:eastAsia="仿宋_GB2312" w:cs="Times New Roman"/>
      <w:sz w:val="32"/>
      <w:szCs w:val="24"/>
      <w:lang w:val="en-US" w:eastAsia="zh-CN" w:bidi="ar-SA"/>
    </w:rPr>
  </w:style>
  <w:style w:type="paragraph" w:customStyle="1" w:styleId="615">
    <w:name w:val="目录 211"/>
    <w:basedOn w:val="1"/>
    <w:next w:val="1"/>
    <w:qFormat/>
    <w:uiPriority w:val="39"/>
    <w:pPr>
      <w:widowControl/>
      <w:tabs>
        <w:tab w:val="right" w:leader="dot" w:pos="8296"/>
      </w:tabs>
      <w:spacing w:line="560" w:lineRule="exact"/>
      <w:ind w:left="480" w:leftChars="200" w:firstLine="562" w:firstLineChars="200"/>
      <w:jc w:val="left"/>
    </w:pPr>
    <w:rPr>
      <w:rFonts w:ascii="Times New Roman" w:hAnsi="Times New Roman" w:eastAsia="仿宋" w:cs="宋体"/>
      <w:sz w:val="24"/>
      <w:szCs w:val="24"/>
    </w:rPr>
  </w:style>
  <w:style w:type="paragraph" w:customStyle="1" w:styleId="616">
    <w:name w:val="正文文本缩进1"/>
    <w:basedOn w:val="1"/>
    <w:qFormat/>
    <w:uiPriority w:val="0"/>
    <w:pPr>
      <w:widowControl/>
      <w:spacing w:line="360" w:lineRule="auto"/>
      <w:ind w:firstLine="560" w:firstLineChars="200"/>
      <w:jc w:val="left"/>
    </w:pPr>
    <w:rPr>
      <w:rFonts w:hint="eastAsia" w:ascii="Times New Roman" w:hAnsi="Times New Roman" w:eastAsia="仿宋" w:cs="宋体"/>
      <w:sz w:val="28"/>
      <w:szCs w:val="24"/>
    </w:rPr>
  </w:style>
  <w:style w:type="paragraph" w:customStyle="1" w:styleId="617">
    <w:name w:val="图表头样式"/>
    <w:basedOn w:val="1"/>
    <w:qFormat/>
    <w:uiPriority w:val="0"/>
    <w:pPr>
      <w:spacing w:line="360" w:lineRule="auto"/>
      <w:ind w:firstLine="562" w:firstLineChars="200"/>
      <w:jc w:val="center"/>
    </w:pPr>
    <w:rPr>
      <w:rFonts w:ascii="Times New Roman" w:hAnsi="Times New Roman" w:eastAsia="仿宋" w:cs="Times New Roman"/>
      <w:sz w:val="24"/>
      <w:szCs w:val="21"/>
    </w:rPr>
  </w:style>
  <w:style w:type="paragraph" w:customStyle="1" w:styleId="618">
    <w:name w:val="目录 91"/>
    <w:basedOn w:val="1"/>
    <w:next w:val="1"/>
    <w:qFormat/>
    <w:uiPriority w:val="39"/>
    <w:pPr>
      <w:spacing w:line="360" w:lineRule="auto"/>
      <w:ind w:left="3360" w:leftChars="1600" w:firstLine="562" w:firstLineChars="200"/>
    </w:pPr>
    <w:rPr>
      <w:rFonts w:ascii="Times New Roman" w:hAnsi="Times New Roman" w:eastAsia="仿宋" w:cs="Calibri"/>
      <w:szCs w:val="21"/>
    </w:rPr>
  </w:style>
  <w:style w:type="paragraph" w:customStyle="1" w:styleId="619">
    <w:name w:val="目录 31"/>
    <w:basedOn w:val="1"/>
    <w:next w:val="1"/>
    <w:qFormat/>
    <w:uiPriority w:val="39"/>
    <w:pPr>
      <w:widowControl/>
      <w:spacing w:line="360" w:lineRule="auto"/>
      <w:ind w:left="840" w:leftChars="400" w:firstLine="562" w:firstLineChars="200"/>
    </w:pPr>
    <w:rPr>
      <w:rFonts w:ascii="Times New Roman" w:hAnsi="Times New Roman" w:eastAsia="仿宋" w:cs="Calibri"/>
      <w:szCs w:val="21"/>
    </w:rPr>
  </w:style>
  <w:style w:type="paragraph" w:customStyle="1" w:styleId="620">
    <w:name w:val="规3"/>
    <w:basedOn w:val="1"/>
    <w:qFormat/>
    <w:uiPriority w:val="99"/>
    <w:pPr>
      <w:widowControl/>
      <w:tabs>
        <w:tab w:val="left" w:pos="1080"/>
      </w:tabs>
      <w:spacing w:line="360" w:lineRule="auto"/>
      <w:ind w:left="709" w:hanging="709" w:firstLineChars="200"/>
      <w:jc w:val="left"/>
    </w:pPr>
    <w:rPr>
      <w:rFonts w:ascii="楷体_GB2312" w:hAnsi="Times New Roman" w:eastAsia="楷体_GB2312" w:cs="宋体"/>
      <w:b/>
      <w:sz w:val="27"/>
      <w:szCs w:val="27"/>
    </w:rPr>
  </w:style>
  <w:style w:type="paragraph" w:customStyle="1" w:styleId="621">
    <w:name w:val="4.正文"/>
    <w:basedOn w:val="1"/>
    <w:qFormat/>
    <w:uiPriority w:val="0"/>
    <w:pPr>
      <w:spacing w:beforeLines="50" w:afterLines="50" w:line="360" w:lineRule="auto"/>
      <w:ind w:firstLine="480" w:firstLineChars="200"/>
    </w:pPr>
    <w:rPr>
      <w:rFonts w:ascii="Times New Roman" w:hAnsi="Times New Roman" w:eastAsia="仿宋" w:cs="Times New Roman"/>
      <w:color w:val="000000"/>
      <w:sz w:val="24"/>
      <w:szCs w:val="24"/>
      <w:lang w:val="zh-CN"/>
    </w:rPr>
  </w:style>
  <w:style w:type="character" w:customStyle="1" w:styleId="622">
    <w:name w:val="未处理的提及3"/>
    <w:semiHidden/>
    <w:unhideWhenUsed/>
    <w:qFormat/>
    <w:uiPriority w:val="99"/>
    <w:rPr>
      <w:color w:val="605E5C"/>
      <w:shd w:val="clear" w:color="auto" w:fill="E1DFDD"/>
    </w:rPr>
  </w:style>
  <w:style w:type="paragraph" w:customStyle="1" w:styleId="623">
    <w:name w:val="修订5"/>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624">
    <w:name w:val="修订6"/>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625">
    <w:name w:val="cf01"/>
    <w:basedOn w:val="44"/>
    <w:qFormat/>
    <w:uiPriority w:val="0"/>
    <w:rPr>
      <w:rFonts w:hint="eastAsia" w:ascii="Microsoft YaHei UI" w:hAnsi="Microsoft YaHei UI" w:eastAsia="Microsoft YaHei UI"/>
      <w:sz w:val="18"/>
      <w:szCs w:val="18"/>
    </w:rPr>
  </w:style>
  <w:style w:type="paragraph" w:customStyle="1" w:styleId="626">
    <w:name w:val="修订7"/>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0E8A66-ECB5-4844-937F-6EDB1EE491F3}">
  <ds:schemaRefs/>
</ds:datastoreItem>
</file>

<file path=docProps/app.xml><?xml version="1.0" encoding="utf-8"?>
<Properties xmlns="http://schemas.openxmlformats.org/officeDocument/2006/extended-properties" xmlns:vt="http://schemas.openxmlformats.org/officeDocument/2006/docPropsVTypes">
  <Template>Normal</Template>
  <Company>HaseeComputer</Company>
  <Pages>113</Pages>
  <Words>68908</Words>
  <Characters>71328</Characters>
  <Lines>548</Lines>
  <Paragraphs>154</Paragraphs>
  <TotalTime>69</TotalTime>
  <ScaleCrop>false</ScaleCrop>
  <LinksUpToDate>false</LinksUpToDate>
  <CharactersWithSpaces>71831</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2020-12-19T12:17:00Z</dcterms:created>
  <dc:creator>HASEE</dc:creator>
  <cp:lastModifiedBy>往       事</cp:lastModifiedBy>
  <cp:lastPrinted>2022-08-11T08:56:00Z</cp:lastPrinted>
  <dcterms:modified xsi:type="dcterms:W3CDTF">2024-11-14T09:27:49Z</dcterms:modified>
  <cp:revision>427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357C724CD8B140E88DEAF5F15C2CFE83_13</vt:lpwstr>
  </property>
</Properties>
</file>