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52" w:lineRule="exact"/>
        <w:ind w:left="0" w:leftChars="0" w:right="0"/>
        <w:jc w:val="center"/>
        <w:textAlignment w:val="auto"/>
        <w:rPr>
          <w:rFonts w:hint="default" w:ascii="方正小标宋简体" w:hAnsi="方正小标宋简体" w:eastAsia="方正小标宋简体" w:cs="方正小标宋简体"/>
          <w:kern w:val="2"/>
          <w:sz w:val="44"/>
          <w:szCs w:val="44"/>
          <w:lang w:val="en-US" w:eastAsia="zh-CN" w:bidi="ar"/>
        </w:rPr>
      </w:pPr>
      <w:r>
        <w:rPr>
          <w:rFonts w:hint="eastAsia" w:ascii="方正小标宋简体" w:hAnsi="方正小标宋简体" w:eastAsia="方正小标宋简体" w:cs="方正小标宋简体"/>
          <w:kern w:val="2"/>
          <w:sz w:val="44"/>
          <w:szCs w:val="44"/>
          <w:lang w:val="en-US" w:eastAsia="zh-CN" w:bidi="ar"/>
        </w:rPr>
        <w:t>政府工作报告</w:t>
      </w:r>
    </w:p>
    <w:p>
      <w:pPr>
        <w:keepNext w:val="0"/>
        <w:keepLines w:val="0"/>
        <w:pageBreakBefore w:val="0"/>
        <w:wordWrap/>
        <w:overflowPunct/>
        <w:topLinePunct w:val="0"/>
        <w:bidi w:val="0"/>
        <w:spacing w:line="552" w:lineRule="exact"/>
        <w:rPr>
          <w:rFonts w:hint="eastAsia" w:ascii="方正小标宋简体" w:hAnsi="方正小标宋简体" w:eastAsia="方正小标宋简体" w:cs="方正小标宋简体"/>
          <w:kern w:val="2"/>
          <w:sz w:val="36"/>
          <w:szCs w:val="36"/>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52" w:lineRule="exact"/>
        <w:ind w:left="0" w:leftChars="0" w:right="0"/>
        <w:jc w:val="center"/>
        <w:textAlignment w:val="auto"/>
        <w:rPr>
          <w:rFonts w:hint="default" w:ascii="楷体_GB2312" w:hAnsi="楷体_GB2312" w:eastAsia="楷体_GB2312" w:cs="楷体_GB2312"/>
          <w:kern w:val="2"/>
          <w:sz w:val="36"/>
          <w:szCs w:val="36"/>
          <w:lang w:val="en-US" w:eastAsia="zh-CN" w:bidi="ar"/>
        </w:rPr>
      </w:pPr>
      <w:r>
        <w:rPr>
          <w:rFonts w:hint="eastAsia" w:ascii="楷体_GB2312" w:hAnsi="楷体_GB2312" w:eastAsia="楷体_GB2312" w:cs="楷体_GB2312"/>
          <w:kern w:val="2"/>
          <w:sz w:val="36"/>
          <w:szCs w:val="36"/>
          <w:lang w:val="en-US" w:eastAsia="zh-CN" w:bidi="ar"/>
        </w:rPr>
        <w:t>——2024年3月2日 在洛隆县十三届人大第五次会议上</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52" w:lineRule="exact"/>
        <w:ind w:left="0" w:leftChars="0" w:right="0"/>
        <w:jc w:val="center"/>
        <w:textAlignment w:val="auto"/>
        <w:rPr>
          <w:rFonts w:hint="default"/>
          <w:sz w:val="36"/>
          <w:szCs w:val="36"/>
          <w:lang w:val="en-US" w:eastAsia="zh-CN"/>
        </w:rPr>
      </w:pPr>
      <w:r>
        <w:rPr>
          <w:rFonts w:hint="eastAsia" w:ascii="楷体_GB2312" w:hAnsi="楷体_GB2312" w:eastAsia="楷体_GB2312" w:cs="楷体_GB2312"/>
          <w:kern w:val="2"/>
          <w:sz w:val="36"/>
          <w:szCs w:val="36"/>
          <w:lang w:val="en-US" w:eastAsia="zh-CN" w:bidi="ar"/>
        </w:rPr>
        <w:t>洛隆</w:t>
      </w:r>
      <w:r>
        <w:rPr>
          <w:rFonts w:hint="default" w:ascii="楷体_GB2312" w:hAnsi="楷体_GB2312" w:eastAsia="楷体_GB2312" w:cs="楷体_GB2312"/>
          <w:kern w:val="2"/>
          <w:sz w:val="36"/>
          <w:szCs w:val="36"/>
          <w:lang w:val="en-US" w:eastAsia="zh-CN" w:bidi="ar"/>
        </w:rPr>
        <w:t xml:space="preserve">县委副书记、县长 </w:t>
      </w:r>
      <w:r>
        <w:rPr>
          <w:rFonts w:hint="eastAsia" w:ascii="楷体_GB2312" w:hAnsi="楷体_GB2312" w:eastAsia="楷体_GB2312" w:cs="楷体_GB2312"/>
          <w:kern w:val="2"/>
          <w:sz w:val="36"/>
          <w:szCs w:val="36"/>
          <w:lang w:val="en-US" w:eastAsia="zh-CN" w:bidi="ar"/>
        </w:rPr>
        <w:t xml:space="preserve"> </w:t>
      </w:r>
      <w:r>
        <w:rPr>
          <w:rFonts w:hint="default" w:ascii="楷体_GB2312" w:hAnsi="楷体_GB2312" w:eastAsia="楷体_GB2312" w:cs="楷体_GB2312"/>
          <w:kern w:val="2"/>
          <w:sz w:val="36"/>
          <w:szCs w:val="36"/>
          <w:lang w:val="en-US" w:eastAsia="zh-CN" w:bidi="ar"/>
        </w:rPr>
        <w:t>巴桑次仁</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52" w:lineRule="exact"/>
        <w:ind w:left="0" w:leftChars="0" w:right="0"/>
        <w:jc w:val="both"/>
        <w:textAlignment w:val="auto"/>
        <w:rPr>
          <w:rFonts w:hint="eastAsia" w:ascii="楷体_GB2312" w:hAnsi="楷体_GB2312" w:eastAsia="楷体_GB2312" w:cs="楷体_GB2312"/>
          <w:b w:val="0"/>
          <w:bCs w:val="0"/>
          <w:kern w:val="2"/>
          <w:sz w:val="36"/>
          <w:szCs w:val="36"/>
        </w:rPr>
      </w:pPr>
      <w:r>
        <w:rPr>
          <w:rFonts w:hint="eastAsia" w:ascii="楷体_GB2312" w:hAnsi="楷体_GB2312" w:eastAsia="楷体_GB2312" w:cs="楷体_GB2312"/>
          <w:b w:val="0"/>
          <w:bCs w:val="0"/>
          <w:kern w:val="2"/>
          <w:sz w:val="36"/>
          <w:szCs w:val="36"/>
          <w:lang w:val="en-US" w:eastAsia="zh-CN" w:bidi="ar"/>
        </w:rPr>
        <w:t>各位代表：</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52" w:lineRule="exact"/>
        <w:ind w:left="0" w:leftChars="0" w:right="0" w:firstLine="720" w:firstLineChars="200"/>
        <w:jc w:val="both"/>
        <w:textAlignment w:val="auto"/>
        <w:rPr>
          <w:rFonts w:hint="eastAsia" w:ascii="仿宋_GB2312" w:hAnsi="仿宋_GB2312" w:eastAsia="仿宋_GB2312" w:cs="仿宋_GB2312"/>
          <w:kern w:val="2"/>
          <w:sz w:val="36"/>
          <w:szCs w:val="36"/>
        </w:rPr>
      </w:pPr>
      <w:r>
        <w:rPr>
          <w:rFonts w:hint="eastAsia" w:ascii="仿宋_GB2312" w:hAnsi="仿宋_GB2312" w:eastAsia="仿宋_GB2312" w:cs="仿宋_GB2312"/>
          <w:kern w:val="2"/>
          <w:sz w:val="36"/>
          <w:szCs w:val="36"/>
          <w:lang w:val="en-US" w:eastAsia="zh-CN" w:bidi="ar"/>
        </w:rPr>
        <w:t>现在，我代表县人民政府，向大会报告政府工作，请予审议，并请各位政协委员和列席同志提出意见。</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52" w:lineRule="exact"/>
        <w:ind w:left="0" w:leftChars="0" w:right="0" w:firstLine="720" w:firstLineChars="200"/>
        <w:jc w:val="both"/>
        <w:textAlignment w:val="auto"/>
        <w:rPr>
          <w:rFonts w:hint="eastAsia" w:ascii="黑体" w:hAnsi="黑体" w:eastAsia="黑体" w:cs="黑体"/>
          <w:b w:val="0"/>
          <w:bCs w:val="0"/>
          <w:kern w:val="2"/>
          <w:sz w:val="36"/>
          <w:szCs w:val="36"/>
        </w:rPr>
      </w:pPr>
      <w:r>
        <w:rPr>
          <w:rFonts w:hint="eastAsia" w:ascii="黑体" w:hAnsi="黑体" w:eastAsia="黑体" w:cs="黑体"/>
          <w:b w:val="0"/>
          <w:bCs w:val="0"/>
          <w:kern w:val="2"/>
          <w:sz w:val="36"/>
          <w:szCs w:val="36"/>
          <w:lang w:val="en-US" w:eastAsia="zh-CN" w:bidi="ar"/>
        </w:rPr>
        <w:t>一、2023年工作回顾</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52" w:lineRule="exact"/>
        <w:ind w:left="0" w:leftChars="0" w:right="0" w:firstLine="720" w:firstLineChars="0"/>
        <w:jc w:val="both"/>
        <w:textAlignment w:val="auto"/>
        <w:rPr>
          <w:rFonts w:hint="eastAsia" w:ascii="仿宋_GB2312" w:hAnsi="仿宋_GB2312" w:eastAsia="仿宋_GB2312" w:cs="仿宋_GB2312"/>
          <w:kern w:val="2"/>
          <w:sz w:val="36"/>
          <w:szCs w:val="36"/>
          <w:lang w:val="en-US" w:eastAsia="zh-CN" w:bidi="ar"/>
        </w:rPr>
      </w:pPr>
      <w:r>
        <w:rPr>
          <w:rFonts w:hint="eastAsia" w:ascii="仿宋_GB2312" w:hAnsi="仿宋_GB2312" w:eastAsia="仿宋_GB2312" w:cs="仿宋_GB2312"/>
          <w:kern w:val="2"/>
          <w:sz w:val="36"/>
          <w:szCs w:val="36"/>
          <w:lang w:val="en-US" w:eastAsia="zh-CN" w:bidi="ar"/>
        </w:rPr>
        <w:t>2023年是全面贯彻落实党的二十大精神的开局之年，是实施“十四五”规划承上启下的关键之年。一年来，我们坚持以习近平新时代中国特色社会主义思想为指导，全面贯彻党的二十大精神和习近平总书记系列重要讲话精神，在区党委政府、市委市政府和县委的坚强领导下，在县人大、县政协的监督支持下，聚焦“四件大事”，聚力“四个创建”，围绕市委“22445”总体工作思路，立足打造“农业大县”，建设“大县城”“中心县城”，较好地完成了县</w:t>
      </w:r>
      <w:r>
        <w:rPr>
          <w:rFonts w:hint="eastAsia" w:ascii="仿宋_GB2312" w:hAnsi="仿宋_GB2312" w:eastAsia="仿宋_GB2312" w:cs="仿宋_GB2312"/>
          <w:color w:val="000000" w:themeColor="text1"/>
          <w:kern w:val="2"/>
          <w:sz w:val="36"/>
          <w:szCs w:val="36"/>
          <w:lang w:val="en-US" w:eastAsia="zh-CN" w:bidi="ar"/>
          <w14:textFill>
            <w14:solidFill>
              <w14:schemeClr w14:val="tx1"/>
            </w14:solidFill>
          </w14:textFill>
        </w:rPr>
        <w:t>十三届人大第四次</w:t>
      </w:r>
      <w:r>
        <w:rPr>
          <w:rFonts w:hint="eastAsia" w:ascii="仿宋_GB2312" w:hAnsi="仿宋_GB2312" w:eastAsia="仿宋_GB2312" w:cs="仿宋_GB2312"/>
          <w:kern w:val="2"/>
          <w:sz w:val="36"/>
          <w:szCs w:val="36"/>
          <w:lang w:val="en-US" w:eastAsia="zh-CN" w:bidi="ar"/>
        </w:rPr>
        <w:t>会议确定的目标任务。</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52" w:lineRule="exact"/>
        <w:ind w:left="0" w:leftChars="0" w:right="0" w:firstLine="720" w:firstLineChars="0"/>
        <w:jc w:val="both"/>
        <w:textAlignment w:val="auto"/>
        <w:rPr>
          <w:rFonts w:hint="eastAsia" w:ascii="仿宋_GB2312" w:hAnsi="仿宋_GB2312" w:eastAsia="仿宋_GB2312" w:cs="仿宋_GB2312"/>
          <w:color w:val="000000" w:themeColor="text1"/>
          <w:kern w:val="2"/>
          <w:sz w:val="36"/>
          <w:szCs w:val="36"/>
          <w:lang w:val="en-US" w:eastAsia="zh-CN" w:bidi="ar"/>
          <w14:textFill>
            <w14:solidFill>
              <w14:schemeClr w14:val="tx1"/>
            </w14:solidFill>
          </w14:textFill>
        </w:rPr>
      </w:pPr>
      <w:r>
        <w:rPr>
          <w:rFonts w:hint="eastAsia" w:ascii="仿宋_GB2312" w:hAnsi="仿宋_GB2312" w:eastAsia="仿宋_GB2312" w:cs="仿宋_GB2312"/>
          <w:color w:val="000000" w:themeColor="text1"/>
          <w:kern w:val="2"/>
          <w:sz w:val="36"/>
          <w:szCs w:val="36"/>
          <w:lang w:val="en-US" w:eastAsia="zh-CN" w:bidi="ar"/>
          <w14:textFill>
            <w14:solidFill>
              <w14:schemeClr w14:val="tx1"/>
            </w14:solidFill>
          </w14:textFill>
        </w:rPr>
        <w:t>全县地区生产总值完成18.45亿元，同比增长9.7%；全社会固定资产投资完成11.92亿元，同比增长51.8%；社会消费品零售总额完成4.35亿元，同比增长18.3%；城乡居民人均可支配收入分别达到46035元和18219元，同比分别增长11.2%和14.7%；一般公共预算收入完成6629万元；招商引资到位资金突破2.3亿元。</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52" w:lineRule="exact"/>
        <w:ind w:left="0" w:leftChars="0" w:right="0" w:firstLine="720" w:firstLineChars="0"/>
        <w:jc w:val="both"/>
        <w:textAlignment w:val="auto"/>
        <w:rPr>
          <w:rFonts w:hint="eastAsia" w:ascii="仿宋_GB2312" w:hAnsi="仿宋_GB2312" w:eastAsia="仿宋_GB2312" w:cs="仿宋_GB2312"/>
          <w:color w:val="C00000"/>
          <w:kern w:val="2"/>
          <w:sz w:val="36"/>
          <w:szCs w:val="36"/>
          <w:lang w:val="en-US" w:eastAsia="zh-CN" w:bidi="ar"/>
        </w:rPr>
      </w:pPr>
      <w:r>
        <w:rPr>
          <w:rFonts w:hint="eastAsia" w:ascii="仿宋_GB2312" w:hAnsi="仿宋_GB2312" w:eastAsia="仿宋_GB2312" w:cs="仿宋_GB2312"/>
          <w:color w:val="000000" w:themeColor="text1"/>
          <w:kern w:val="2"/>
          <w:sz w:val="36"/>
          <w:szCs w:val="36"/>
          <w:lang w:val="en-US" w:eastAsia="zh-CN" w:bidi="ar"/>
          <w14:textFill>
            <w14:solidFill>
              <w14:schemeClr w14:val="tx1"/>
            </w14:solidFill>
          </w14:textFill>
        </w:rPr>
        <w:t>经济社会的持续发展，为推动新时代洛隆高质量发展奠定了坚实基础。</w:t>
      </w:r>
    </w:p>
    <w:p>
      <w:pPr>
        <w:keepNext w:val="0"/>
        <w:keepLines w:val="0"/>
        <w:pageBreakBefore w:val="0"/>
        <w:widowControl w:val="0"/>
        <w:numPr>
          <w:ilvl w:val="0"/>
          <w:numId w:val="1"/>
        </w:numPr>
        <w:suppressLineNumbers w:val="0"/>
        <w:kinsoku/>
        <w:wordWrap/>
        <w:overflowPunct/>
        <w:topLinePunct w:val="0"/>
        <w:autoSpaceDE w:val="0"/>
        <w:autoSpaceDN/>
        <w:bidi w:val="0"/>
        <w:adjustRightInd/>
        <w:snapToGrid/>
        <w:spacing w:before="0" w:beforeAutospacing="0" w:after="0" w:afterAutospacing="0" w:line="552" w:lineRule="exact"/>
        <w:ind w:left="0" w:leftChars="0" w:right="0" w:firstLine="723" w:firstLineChars="200"/>
        <w:jc w:val="both"/>
        <w:textAlignment w:val="auto"/>
        <w:rPr>
          <w:rFonts w:hint="eastAsia" w:ascii="楷体_GB2312" w:hAnsi="楷体_GB2312" w:eastAsia="楷体_GB2312" w:cs="楷体_GB2312"/>
          <w:b/>
          <w:bCs/>
          <w:kern w:val="2"/>
          <w:sz w:val="36"/>
          <w:szCs w:val="36"/>
          <w:lang w:val="en-US" w:eastAsia="zh-CN" w:bidi="ar"/>
        </w:rPr>
      </w:pPr>
      <w:r>
        <w:rPr>
          <w:rFonts w:hint="eastAsia" w:ascii="楷体_GB2312" w:hAnsi="楷体_GB2312" w:eastAsia="楷体_GB2312" w:cs="楷体_GB2312"/>
          <w:b/>
          <w:bCs/>
          <w:kern w:val="2"/>
          <w:sz w:val="36"/>
          <w:szCs w:val="36"/>
          <w:lang w:val="en-US" w:eastAsia="zh-CN" w:bidi="ar"/>
        </w:rPr>
        <w:t>拼项目、促投资，推动经济发展质效双增</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52" w:lineRule="exact"/>
        <w:ind w:left="0" w:leftChars="0" w:right="0" w:rightChars="0" w:firstLine="720" w:firstLineChars="200"/>
        <w:jc w:val="both"/>
        <w:textAlignment w:val="auto"/>
        <w:rPr>
          <w:rFonts w:hint="eastAsia" w:ascii="仿宋_GB2312" w:hAnsi="仿宋_GB2312" w:eastAsia="仿宋_GB2312" w:cs="仿宋_GB2312"/>
          <w:color w:val="C00000"/>
          <w:kern w:val="2"/>
          <w:sz w:val="36"/>
          <w:szCs w:val="36"/>
          <w:lang w:val="en-US" w:eastAsia="zh-CN" w:bidi="ar"/>
        </w:rPr>
      </w:pPr>
      <w:r>
        <w:rPr>
          <w:rFonts w:hint="eastAsia" w:ascii="仿宋_GB2312" w:hAnsi="仿宋_GB2312" w:eastAsia="仿宋_GB2312" w:cs="仿宋_GB2312"/>
          <w:kern w:val="2"/>
          <w:sz w:val="36"/>
          <w:szCs w:val="36"/>
          <w:lang w:val="en-US" w:eastAsia="zh-CN" w:bidi="ar"/>
        </w:rPr>
        <w:t>紧抓“投资落实年”，把项目建设摆在重要位置，全力以赴抓项目、促投资、稳大盘。2023年，全县落地实施项目101项，总投资23.32亿</w:t>
      </w:r>
      <w:r>
        <w:rPr>
          <w:rFonts w:hint="eastAsia" w:ascii="仿宋_GB2312" w:hAnsi="仿宋_GB2312" w:eastAsia="仿宋_GB2312" w:cs="仿宋_GB2312"/>
          <w:color w:val="000000" w:themeColor="text1"/>
          <w:kern w:val="2"/>
          <w:sz w:val="36"/>
          <w:szCs w:val="36"/>
          <w:lang w:val="en-US" w:eastAsia="zh-CN" w:bidi="ar"/>
          <w14:textFill>
            <w14:solidFill>
              <w14:schemeClr w14:val="tx1"/>
            </w14:solidFill>
          </w14:textFill>
        </w:rPr>
        <w:t>元，累计已完成投资19.57亿元，2023年完成投资13.95亿元。</w:t>
      </w:r>
      <w:r>
        <w:rPr>
          <w:rFonts w:hint="eastAsia" w:ascii="仿宋_GB2312" w:hAnsi="仿宋_GB2312" w:eastAsia="仿宋_GB2312" w:cs="仿宋_GB2312"/>
          <w:kern w:val="2"/>
          <w:sz w:val="36"/>
          <w:szCs w:val="36"/>
          <w:lang w:val="en-US" w:eastAsia="zh-CN" w:bidi="ar"/>
        </w:rPr>
        <w:t>“3·17”地震灾后重建、美丽宜居乡村建设、高标准农田建设项目等相继建成。川藏铁路及配套公路工程、俄西乡至甲瓦村公路工程、达贡村公路工程、滨河路及沿线污水管网项目、俄西灌区工程、高海拔供氧等项目稳步推进。城市功能提升工程、南谷公园建设项目等正在积极争取建设资金，有序开展项目前期工</w:t>
      </w:r>
      <w:r>
        <w:rPr>
          <w:rFonts w:hint="eastAsia" w:ascii="仿宋_GB2312" w:hAnsi="仿宋_GB2312" w:eastAsia="仿宋_GB2312" w:cs="仿宋_GB2312"/>
          <w:color w:val="000000" w:themeColor="text1"/>
          <w:kern w:val="2"/>
          <w:sz w:val="36"/>
          <w:szCs w:val="36"/>
          <w:lang w:val="en-US" w:eastAsia="zh-CN" w:bidi="ar"/>
          <w14:textFill>
            <w14:solidFill>
              <w14:schemeClr w14:val="tx1"/>
            </w14:solidFill>
          </w14:textFill>
        </w:rPr>
        <w:t>作。同时，全力服务支持保障川藏铁路（洛隆段）建设，优化了重大项目建设环境。</w:t>
      </w:r>
    </w:p>
    <w:p>
      <w:pPr>
        <w:keepNext w:val="0"/>
        <w:keepLines w:val="0"/>
        <w:pageBreakBefore w:val="0"/>
        <w:widowControl w:val="0"/>
        <w:numPr>
          <w:ilvl w:val="0"/>
          <w:numId w:val="1"/>
        </w:numPr>
        <w:suppressLineNumbers w:val="0"/>
        <w:kinsoku/>
        <w:wordWrap/>
        <w:overflowPunct/>
        <w:topLinePunct w:val="0"/>
        <w:autoSpaceDE w:val="0"/>
        <w:autoSpaceDN/>
        <w:bidi w:val="0"/>
        <w:adjustRightInd/>
        <w:snapToGrid/>
        <w:spacing w:before="0" w:beforeAutospacing="0" w:after="0" w:afterAutospacing="0" w:line="552" w:lineRule="exact"/>
        <w:ind w:left="0" w:leftChars="0" w:right="0" w:rightChars="0" w:firstLine="723" w:firstLineChars="200"/>
        <w:jc w:val="both"/>
        <w:textAlignment w:val="auto"/>
        <w:rPr>
          <w:rFonts w:hint="eastAsia" w:ascii="楷体_GB2312" w:hAnsi="楷体_GB2312" w:eastAsia="楷体_GB2312" w:cs="楷体_GB2312"/>
          <w:b/>
          <w:bCs/>
          <w:kern w:val="2"/>
          <w:sz w:val="36"/>
          <w:szCs w:val="36"/>
          <w:lang w:val="en-US" w:eastAsia="zh-CN" w:bidi="ar"/>
        </w:rPr>
      </w:pPr>
      <w:r>
        <w:rPr>
          <w:rFonts w:hint="eastAsia" w:ascii="楷体_GB2312" w:hAnsi="楷体_GB2312" w:eastAsia="楷体_GB2312" w:cs="楷体_GB2312"/>
          <w:b/>
          <w:bCs/>
          <w:kern w:val="2"/>
          <w:sz w:val="36"/>
          <w:szCs w:val="36"/>
          <w:lang w:val="en-US" w:eastAsia="zh-CN" w:bidi="ar"/>
        </w:rPr>
        <w:t>重规划、提品质，推动城乡一体融合发展</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52" w:lineRule="exact"/>
        <w:ind w:left="0" w:leftChars="0" w:right="0" w:rightChars="0" w:firstLine="723" w:firstLineChars="200"/>
        <w:jc w:val="both"/>
        <w:textAlignment w:val="auto"/>
        <w:rPr>
          <w:rFonts w:hint="default" w:ascii="仿宋_GB2312" w:hAnsi="仿宋_GB2312" w:eastAsia="仿宋_GB2312" w:cs="仿宋_GB2312"/>
          <w:b w:val="0"/>
          <w:bCs w:val="0"/>
          <w:color w:val="000000" w:themeColor="text1"/>
          <w:kern w:val="2"/>
          <w:sz w:val="36"/>
          <w:szCs w:val="36"/>
          <w:lang w:val="en-US" w:eastAsia="zh-CN" w:bidi="ar"/>
          <w14:textFill>
            <w14:solidFill>
              <w14:schemeClr w14:val="tx1"/>
            </w14:solidFill>
          </w14:textFill>
        </w:rPr>
      </w:pPr>
      <w:r>
        <w:rPr>
          <w:rFonts w:hint="eastAsia" w:ascii="仿宋_GB2312" w:hAnsi="仿宋_GB2312" w:eastAsia="仿宋_GB2312" w:cs="仿宋_GB2312"/>
          <w:b/>
          <w:bCs/>
          <w:kern w:val="2"/>
          <w:sz w:val="36"/>
          <w:szCs w:val="36"/>
          <w:lang w:val="en-US" w:eastAsia="zh-CN" w:bidi="ar"/>
        </w:rPr>
        <w:t>一是各类规划日臻完善。</w:t>
      </w:r>
      <w:r>
        <w:rPr>
          <w:rFonts w:hint="eastAsia" w:ascii="仿宋_GB2312" w:hAnsi="仿宋_GB2312" w:eastAsia="仿宋_GB2312" w:cs="仿宋_GB2312"/>
          <w:b w:val="0"/>
          <w:bCs w:val="0"/>
          <w:kern w:val="2"/>
          <w:sz w:val="36"/>
          <w:szCs w:val="36"/>
          <w:lang w:val="en-US" w:eastAsia="zh-CN" w:bidi="ar"/>
        </w:rPr>
        <w:t>《洛隆县全域旅游发展规划》《洛隆县国道349沿线茶马文化旅游发展规划》《洛隆县“十四五”时期国土空间生态修复规划（2021-2025）》已编制完成，《洛隆县农业大县高质量发展规划》已初步完成，《洛隆县国土空间总体规划（2021-2035年）》正在逐级报审，洛隆县城市控制性详细规划、火车站片</w:t>
      </w:r>
      <w:r>
        <w:rPr>
          <w:rFonts w:hint="eastAsia" w:ascii="仿宋_GB2312" w:hAnsi="仿宋_GB2312" w:eastAsia="仿宋_GB2312" w:cs="仿宋_GB2312"/>
          <w:b w:val="0"/>
          <w:bCs w:val="0"/>
          <w:color w:val="000000" w:themeColor="text1"/>
          <w:kern w:val="2"/>
          <w:sz w:val="36"/>
          <w:szCs w:val="36"/>
          <w:lang w:val="en-US" w:eastAsia="zh-CN" w:bidi="ar"/>
          <w14:textFill>
            <w14:solidFill>
              <w14:schemeClr w14:val="tx1"/>
            </w14:solidFill>
          </w14:textFill>
        </w:rPr>
        <w:t>区规划和“多规合一”实用性村庄规划形成了初步成果。</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52" w:lineRule="exact"/>
        <w:ind w:left="0" w:leftChars="0" w:right="0" w:rightChars="0" w:firstLine="723" w:firstLineChars="200"/>
        <w:jc w:val="both"/>
        <w:textAlignment w:val="auto"/>
        <w:rPr>
          <w:rFonts w:hint="eastAsia" w:ascii="仿宋_GB2312" w:hAnsi="仿宋_GB2312" w:eastAsia="仿宋_GB2312" w:cs="仿宋_GB2312"/>
          <w:b w:val="0"/>
          <w:bCs w:val="0"/>
          <w:kern w:val="2"/>
          <w:sz w:val="36"/>
          <w:szCs w:val="36"/>
          <w:lang w:val="en-US" w:eastAsia="zh-CN" w:bidi="ar"/>
        </w:rPr>
      </w:pPr>
      <w:r>
        <w:rPr>
          <w:rFonts w:hint="eastAsia" w:ascii="仿宋_GB2312" w:hAnsi="仿宋_GB2312" w:eastAsia="仿宋_GB2312" w:cs="仿宋_GB2312"/>
          <w:b/>
          <w:bCs/>
          <w:kern w:val="2"/>
          <w:sz w:val="36"/>
          <w:szCs w:val="36"/>
          <w:lang w:val="en-US" w:eastAsia="zh-CN" w:bidi="ar"/>
        </w:rPr>
        <w:t>二是乡村振兴提质增效。</w:t>
      </w:r>
      <w:r>
        <w:rPr>
          <w:rFonts w:hint="eastAsia" w:ascii="仿宋_GB2312" w:hAnsi="仿宋_GB2312" w:eastAsia="仿宋_GB2312" w:cs="仿宋_GB2312"/>
          <w:b w:val="0"/>
          <w:bCs w:val="0"/>
          <w:kern w:val="2"/>
          <w:sz w:val="36"/>
          <w:szCs w:val="36"/>
          <w:lang w:val="en-US" w:eastAsia="zh-CN" w:bidi="ar"/>
        </w:rPr>
        <w:t>累计识别监测对象376户1902人，因户施策开展结对帮扶工作</w:t>
      </w:r>
      <w:r>
        <w:rPr>
          <w:rFonts w:hint="eastAsia" w:ascii="仿宋_GB2312" w:hAnsi="仿宋_GB2312" w:eastAsia="仿宋_GB2312" w:cs="仿宋_GB2312"/>
          <w:b w:val="0"/>
          <w:bCs w:val="0"/>
          <w:color w:val="000000" w:themeColor="text1"/>
          <w:kern w:val="2"/>
          <w:sz w:val="36"/>
          <w:szCs w:val="36"/>
          <w:lang w:val="en-US" w:eastAsia="zh-CN" w:bidi="ar"/>
          <w14:textFill>
            <w14:solidFill>
              <w14:schemeClr w14:val="tx1"/>
            </w14:solidFill>
          </w14:textFill>
        </w:rPr>
        <w:t>，确保不发生规模性返贫。</w:t>
      </w:r>
      <w:r>
        <w:rPr>
          <w:rFonts w:hint="eastAsia" w:ascii="仿宋_GB2312" w:hAnsi="仿宋_GB2312" w:eastAsia="仿宋_GB2312" w:cs="仿宋_GB2312"/>
          <w:b w:val="0"/>
          <w:bCs w:val="0"/>
          <w:kern w:val="2"/>
          <w:sz w:val="36"/>
          <w:szCs w:val="36"/>
          <w:lang w:val="en-US" w:eastAsia="zh-CN" w:bidi="ar"/>
        </w:rPr>
        <w:t>完成人畜分离指标任务2959户、户厕改造指标2029座。已实施15个人居环境综合治理项目，在乡村建设了11座污水处理厂、13座垃圾焚烧站，完成3个美丽宜居村庄建设项目。</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52" w:lineRule="exact"/>
        <w:ind w:left="0" w:leftChars="0" w:right="0" w:rightChars="0" w:firstLine="723" w:firstLineChars="200"/>
        <w:jc w:val="both"/>
        <w:textAlignment w:val="auto"/>
        <w:rPr>
          <w:rFonts w:hint="eastAsia" w:ascii="仿宋_GB2312" w:hAnsi="仿宋_GB2312" w:eastAsia="仿宋_GB2312" w:cs="仿宋_GB2312"/>
          <w:kern w:val="2"/>
          <w:sz w:val="36"/>
          <w:szCs w:val="36"/>
          <w:lang w:val="en-US" w:eastAsia="zh-CN" w:bidi="ar"/>
        </w:rPr>
      </w:pPr>
      <w:r>
        <w:rPr>
          <w:rFonts w:hint="eastAsia" w:ascii="仿宋_GB2312" w:hAnsi="仿宋_GB2312" w:eastAsia="仿宋_GB2312" w:cs="仿宋_GB2312"/>
          <w:b/>
          <w:bCs/>
          <w:kern w:val="2"/>
          <w:sz w:val="36"/>
          <w:szCs w:val="36"/>
          <w:lang w:val="en-US" w:eastAsia="zh-CN" w:bidi="ar"/>
        </w:rPr>
        <w:t>三是产业发展蹄疾步稳。</w:t>
      </w:r>
      <w:r>
        <w:rPr>
          <w:rFonts w:hint="eastAsia" w:ascii="仿宋_GB2312" w:hAnsi="仿宋_GB2312" w:eastAsia="仿宋_GB2312" w:cs="仿宋_GB2312"/>
          <w:kern w:val="2"/>
          <w:sz w:val="36"/>
          <w:szCs w:val="36"/>
          <w:lang w:val="en-US" w:eastAsia="zh-CN" w:bidi="ar"/>
        </w:rPr>
        <w:t>标准化厂房、青稞精酿啤酒、卡若香猪深加工、园区孵化基地、俄西农业现代化建设示范项目等一批高质量项目相继落地。2023年农作物播种面积为9.7万余亩，总产量达8918万斤；牲畜存栏为15万头（只、匹），牲畜出栏2.2万余头（只）。对“十三五”期间实施的64项扶贫产业项目进行提档升级，并</w:t>
      </w:r>
      <w:r>
        <w:rPr>
          <w:rFonts w:hint="eastAsia" w:ascii="仿宋_GB2312" w:hAnsi="仿宋_GB2312" w:eastAsia="仿宋_GB2312" w:cs="仿宋_GB2312"/>
          <w:color w:val="000000" w:themeColor="text1"/>
          <w:kern w:val="2"/>
          <w:sz w:val="36"/>
          <w:szCs w:val="36"/>
          <w:lang w:val="en-US" w:eastAsia="zh-CN" w:bidi="ar"/>
          <w14:textFill>
            <w14:solidFill>
              <w14:schemeClr w14:val="tx1"/>
            </w14:solidFill>
          </w14:textFill>
        </w:rPr>
        <w:t>形成了《洛隆县“十三五”扶贫产业项目提档升级评估报告》。2023年累计接待游客4.29万人。</w:t>
      </w:r>
    </w:p>
    <w:p>
      <w:pPr>
        <w:keepNext w:val="0"/>
        <w:keepLines w:val="0"/>
        <w:pageBreakBefore w:val="0"/>
        <w:widowControl w:val="0"/>
        <w:numPr>
          <w:ilvl w:val="0"/>
          <w:numId w:val="1"/>
        </w:numPr>
        <w:suppressLineNumbers w:val="0"/>
        <w:kinsoku/>
        <w:wordWrap/>
        <w:overflowPunct/>
        <w:topLinePunct w:val="0"/>
        <w:autoSpaceDE w:val="0"/>
        <w:autoSpaceDN/>
        <w:bidi w:val="0"/>
        <w:adjustRightInd/>
        <w:snapToGrid/>
        <w:spacing w:before="0" w:beforeAutospacing="0" w:after="0" w:afterAutospacing="0" w:line="552" w:lineRule="exact"/>
        <w:ind w:left="0" w:leftChars="0" w:right="0" w:rightChars="0" w:firstLine="723" w:firstLineChars="200"/>
        <w:jc w:val="both"/>
        <w:textAlignment w:val="auto"/>
        <w:rPr>
          <w:rFonts w:hint="eastAsia" w:ascii="楷体_GB2312" w:hAnsi="楷体_GB2312" w:eastAsia="楷体_GB2312" w:cs="楷体_GB2312"/>
          <w:b/>
          <w:bCs/>
          <w:kern w:val="2"/>
          <w:sz w:val="36"/>
          <w:szCs w:val="36"/>
          <w:lang w:val="en-US" w:eastAsia="zh-CN" w:bidi="ar"/>
        </w:rPr>
      </w:pPr>
      <w:r>
        <w:rPr>
          <w:rFonts w:hint="eastAsia" w:ascii="楷体_GB2312" w:hAnsi="楷体_GB2312" w:eastAsia="楷体_GB2312" w:cs="楷体_GB2312"/>
          <w:b/>
          <w:bCs/>
          <w:kern w:val="2"/>
          <w:sz w:val="36"/>
          <w:szCs w:val="36"/>
          <w:lang w:val="en-US" w:eastAsia="zh-CN" w:bidi="ar"/>
        </w:rPr>
        <w:t>盯重点、强保护，推动生态环境持续改善</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52" w:lineRule="exact"/>
        <w:ind w:left="0" w:leftChars="0" w:right="0" w:rightChars="0" w:firstLine="720" w:firstLineChars="200"/>
        <w:jc w:val="both"/>
        <w:textAlignment w:val="auto"/>
        <w:rPr>
          <w:rFonts w:hint="eastAsia" w:ascii="仿宋_GB2312" w:hAnsi="仿宋_GB2312" w:eastAsia="仿宋_GB2312" w:cs="仿宋_GB2312"/>
          <w:kern w:val="2"/>
          <w:sz w:val="36"/>
          <w:szCs w:val="36"/>
          <w:lang w:val="en-US" w:eastAsia="zh-CN" w:bidi="ar"/>
        </w:rPr>
      </w:pPr>
      <w:r>
        <w:rPr>
          <w:rFonts w:hint="eastAsia" w:ascii="仿宋_GB2312" w:hAnsi="仿宋_GB2312" w:eastAsia="仿宋_GB2312" w:cs="仿宋_GB2312"/>
          <w:kern w:val="2"/>
          <w:sz w:val="36"/>
          <w:szCs w:val="36"/>
          <w:lang w:val="en-US" w:eastAsia="zh-CN" w:bidi="ar"/>
        </w:rPr>
        <w:t>高质量推进中央、自治区生态环保督察转办案件和反馈问题整改工作，全年生态环境质量持续良好，环境空气质量达标率100%，优良率100%；饮用水</w:t>
      </w:r>
      <w:r>
        <w:rPr>
          <w:rFonts w:hint="eastAsia" w:ascii="仿宋_GB2312" w:hAnsi="仿宋_GB2312" w:eastAsia="仿宋_GB2312" w:cs="仿宋_GB2312"/>
          <w:color w:val="000000" w:themeColor="text1"/>
          <w:kern w:val="2"/>
          <w:sz w:val="36"/>
          <w:szCs w:val="36"/>
          <w:lang w:val="en-US" w:eastAsia="zh-CN" w:bidi="ar"/>
          <w14:textFill>
            <w14:solidFill>
              <w14:schemeClr w14:val="tx1"/>
            </w14:solidFill>
          </w14:textFill>
        </w:rPr>
        <w:t>水源地水质达到Ⅱ类标准；深入推进国土绿化工作，完成国土绿化面积4829亩、25.7万株。不断深化生态文明高地创建，成功创建自治区级</w:t>
      </w:r>
      <w:r>
        <w:rPr>
          <w:rFonts w:hint="eastAsia" w:ascii="仿宋_GB2312" w:hAnsi="仿宋_GB2312" w:eastAsia="仿宋_GB2312" w:cs="仿宋_GB2312"/>
          <w:kern w:val="2"/>
          <w:sz w:val="36"/>
          <w:szCs w:val="36"/>
          <w:lang w:val="en-US" w:eastAsia="zh-CN" w:bidi="ar"/>
        </w:rPr>
        <w:t>生态文明建设示范乡（镇）5个、村（居）35个，《昌都市洛隆县西藏自治区生态文明建设示范县规划（2022-2030年）》顺利通过市级专家评审。</w:t>
      </w:r>
    </w:p>
    <w:p>
      <w:pPr>
        <w:keepNext w:val="0"/>
        <w:keepLines w:val="0"/>
        <w:pageBreakBefore w:val="0"/>
        <w:widowControl w:val="0"/>
        <w:numPr>
          <w:ilvl w:val="0"/>
          <w:numId w:val="1"/>
        </w:numPr>
        <w:suppressLineNumbers w:val="0"/>
        <w:kinsoku/>
        <w:wordWrap/>
        <w:overflowPunct/>
        <w:topLinePunct w:val="0"/>
        <w:autoSpaceDE w:val="0"/>
        <w:autoSpaceDN/>
        <w:bidi w:val="0"/>
        <w:adjustRightInd/>
        <w:snapToGrid/>
        <w:spacing w:before="0" w:beforeAutospacing="0" w:after="0" w:afterAutospacing="0" w:line="552" w:lineRule="exact"/>
        <w:ind w:left="0" w:leftChars="0" w:right="0" w:rightChars="0" w:firstLine="723" w:firstLineChars="200"/>
        <w:jc w:val="both"/>
        <w:textAlignment w:val="auto"/>
        <w:rPr>
          <w:rFonts w:hint="eastAsia" w:ascii="楷体_GB2312" w:hAnsi="楷体_GB2312" w:eastAsia="楷体_GB2312" w:cs="楷体_GB2312"/>
          <w:b/>
          <w:bCs/>
          <w:kern w:val="2"/>
          <w:sz w:val="36"/>
          <w:szCs w:val="36"/>
          <w:lang w:val="en-US" w:eastAsia="zh-CN" w:bidi="ar"/>
        </w:rPr>
      </w:pPr>
      <w:r>
        <w:rPr>
          <w:rFonts w:hint="eastAsia" w:ascii="楷体_GB2312" w:hAnsi="楷体_GB2312" w:eastAsia="楷体_GB2312" w:cs="楷体_GB2312"/>
          <w:b/>
          <w:bCs/>
          <w:kern w:val="2"/>
          <w:sz w:val="36"/>
          <w:szCs w:val="36"/>
          <w:lang w:val="en-US" w:eastAsia="zh-CN" w:bidi="ar"/>
        </w:rPr>
        <w:t>聚民心、办实事，推动民生福祉不断提升</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52" w:lineRule="exact"/>
        <w:ind w:left="0" w:leftChars="0" w:right="0" w:rightChars="0" w:firstLine="720" w:firstLineChars="200"/>
        <w:jc w:val="both"/>
        <w:textAlignment w:val="auto"/>
        <w:rPr>
          <w:rFonts w:hint="eastAsia" w:ascii="仿宋_GB2312" w:hAnsi="仿宋_GB2312" w:eastAsia="仿宋_GB2312" w:cs="仿宋_GB2312"/>
          <w:b w:val="0"/>
          <w:bCs w:val="0"/>
          <w:color w:val="000000" w:themeColor="text1"/>
          <w:kern w:val="2"/>
          <w:sz w:val="36"/>
          <w:szCs w:val="36"/>
          <w:lang w:val="en-US" w:eastAsia="zh-CN" w:bidi="ar"/>
          <w14:textFill>
            <w14:solidFill>
              <w14:schemeClr w14:val="tx1"/>
            </w14:solidFill>
          </w14:textFill>
        </w:rPr>
      </w:pPr>
      <w:r>
        <w:rPr>
          <w:rFonts w:hint="eastAsia" w:ascii="仿宋_GB2312" w:hAnsi="仿宋_GB2312" w:eastAsia="仿宋_GB2312" w:cs="仿宋_GB2312"/>
          <w:color w:val="000000" w:themeColor="text1"/>
          <w:kern w:val="2"/>
          <w:sz w:val="36"/>
          <w:szCs w:val="36"/>
          <w:lang w:val="en-US" w:eastAsia="zh-CN" w:bidi="ar"/>
          <w14:textFill>
            <w14:solidFill>
              <w14:schemeClr w14:val="tx1"/>
            </w14:solidFill>
          </w14:textFill>
        </w:rPr>
        <w:t>“3·17”地震实现了“零死亡、零失踪”，灾后重建工作创造了“当年受灾、当年开工、当年完工、当年入住”的历史性成就，严重受灾的176户群众如期安全入住新居、温暖过冬。落实城乡低保生活补助资金1735万元;发放残疾人补助300万元，进行人工耳蜗手术20人。我县入选国家紧密型县域医共体建设典型案例，县人民医院成功创建市级新生儿救治中心、危重孕产妇救治中心、胸痛单元、创伤单元，成为昌都市首个创建“四大中心”的县级医院，完成大骨节病患者手术救治184人，孕产妇住院分娩率99.4%；2023年内地西藏初中班录取46人，排名全市前列；总投资6725万元，实施中小学及幼儿园供暖项目38项。完成富余劳动力转移就业13000人、劳务收入11200万元；应届高校生实现就业418人，就业率99%。维修改造了农村安全饮水工程5处；城乡居民参保率达99.65%；兑现危房改造资金908户，1112万元；全面落实农牧民群众增收10条措施，超额完成了增收任务目标；组织农牧民群众看昌都3批次，共计37人。</w:t>
      </w:r>
      <w:r>
        <w:rPr>
          <w:rFonts w:hint="eastAsia" w:ascii="仿宋_GB2312" w:hAnsi="仿宋_GB2312" w:eastAsia="仿宋_GB2312" w:cs="仿宋_GB2312"/>
          <w:b w:val="0"/>
          <w:bCs w:val="0"/>
          <w:color w:val="000000" w:themeColor="text1"/>
          <w:kern w:val="2"/>
          <w:sz w:val="36"/>
          <w:szCs w:val="36"/>
          <w:lang w:val="en-US" w:eastAsia="zh-CN" w:bidi="ar"/>
          <w14:textFill>
            <w14:solidFill>
              <w14:schemeClr w14:val="tx1"/>
            </w14:solidFill>
          </w14:textFill>
        </w:rPr>
        <w:t>圆满举办了第九届俄西杏花旅游文化节；70个村（居）文艺队开展各类演出达560余场次；完成自治区级文物保护单位石刻传拓56种57张。</w:t>
      </w:r>
      <w:r>
        <w:rPr>
          <w:rFonts w:hint="eastAsia" w:ascii="仿宋_GB2312" w:hAnsi="仿宋_GB2312" w:eastAsia="仿宋_GB2312" w:cs="仿宋_GB2312"/>
          <w:color w:val="000000" w:themeColor="text1"/>
          <w:kern w:val="2"/>
          <w:sz w:val="36"/>
          <w:szCs w:val="36"/>
          <w:lang w:val="en-US" w:eastAsia="zh-CN" w:bidi="ar"/>
          <w14:textFill>
            <w14:solidFill>
              <w14:schemeClr w14:val="tx1"/>
            </w14:solidFill>
          </w14:textFill>
        </w:rPr>
        <w:t>年初县委政府制定的高海拔学校供暖、户籍分户、医保及时结算、区外就业等13件民生实事，全部落地实现。</w:t>
      </w:r>
    </w:p>
    <w:p>
      <w:pPr>
        <w:keepNext w:val="0"/>
        <w:keepLines w:val="0"/>
        <w:pageBreakBefore w:val="0"/>
        <w:widowControl w:val="0"/>
        <w:numPr>
          <w:ilvl w:val="0"/>
          <w:numId w:val="1"/>
        </w:numPr>
        <w:kinsoku/>
        <w:wordWrap/>
        <w:overflowPunct/>
        <w:topLinePunct w:val="0"/>
        <w:autoSpaceDE w:val="0"/>
        <w:autoSpaceDN/>
        <w:bidi w:val="0"/>
        <w:adjustRightInd/>
        <w:snapToGrid/>
        <w:spacing w:line="552" w:lineRule="exact"/>
        <w:ind w:firstLine="723" w:firstLineChars="200"/>
        <w:textAlignment w:val="auto"/>
        <w:rPr>
          <w:rFonts w:hint="eastAsia" w:ascii="楷体_GB2312" w:hAnsi="楷体_GB2312" w:eastAsia="楷体_GB2312" w:cs="楷体_GB2312"/>
          <w:b/>
          <w:bCs/>
          <w:sz w:val="36"/>
          <w:szCs w:val="36"/>
          <w:lang w:bidi="ar"/>
        </w:rPr>
      </w:pPr>
      <w:r>
        <w:rPr>
          <w:rFonts w:hint="eastAsia" w:ascii="楷体_GB2312" w:hAnsi="楷体_GB2312" w:eastAsia="楷体_GB2312" w:cs="楷体_GB2312"/>
          <w:b/>
          <w:bCs/>
          <w:sz w:val="36"/>
          <w:szCs w:val="36"/>
          <w:lang w:bidi="ar"/>
        </w:rPr>
        <w:t>抓治理、防风险，推动社会大局平安稳定</w:t>
      </w:r>
    </w:p>
    <w:p>
      <w:pPr>
        <w:keepNext w:val="0"/>
        <w:keepLines w:val="0"/>
        <w:pageBreakBefore w:val="0"/>
        <w:widowControl w:val="0"/>
        <w:numPr>
          <w:ilvl w:val="0"/>
          <w:numId w:val="1"/>
        </w:numPr>
        <w:suppressLineNumbers w:val="0"/>
        <w:kinsoku/>
        <w:wordWrap/>
        <w:overflowPunct/>
        <w:topLinePunct w:val="0"/>
        <w:autoSpaceDE w:val="0"/>
        <w:autoSpaceDN/>
        <w:bidi w:val="0"/>
        <w:adjustRightInd/>
        <w:snapToGrid/>
        <w:spacing w:before="0" w:beforeAutospacing="0" w:after="0" w:afterAutospacing="0" w:line="552" w:lineRule="exact"/>
        <w:ind w:left="0" w:leftChars="0" w:right="0" w:rightChars="0" w:firstLine="723" w:firstLineChars="200"/>
        <w:jc w:val="both"/>
        <w:textAlignment w:val="auto"/>
        <w:rPr>
          <w:rFonts w:hint="eastAsia" w:ascii="楷体_GB2312" w:hAnsi="楷体_GB2312" w:eastAsia="楷体_GB2312" w:cs="楷体_GB2312"/>
          <w:b/>
          <w:bCs/>
          <w:kern w:val="2"/>
          <w:sz w:val="36"/>
          <w:szCs w:val="36"/>
          <w:lang w:val="en-US" w:eastAsia="zh-CN" w:bidi="ar"/>
        </w:rPr>
      </w:pPr>
      <w:bookmarkStart w:id="0" w:name="_GoBack"/>
      <w:bookmarkEnd w:id="0"/>
      <w:r>
        <w:rPr>
          <w:rFonts w:hint="eastAsia" w:ascii="楷体_GB2312" w:hAnsi="楷体_GB2312" w:eastAsia="楷体_GB2312" w:cs="楷体_GB2312"/>
          <w:b/>
          <w:bCs/>
          <w:kern w:val="2"/>
          <w:sz w:val="36"/>
          <w:szCs w:val="36"/>
          <w:lang w:val="en-US" w:eastAsia="zh-CN" w:bidi="ar"/>
        </w:rPr>
        <w:t>强交流、同发力，推动援藏工作取得实效</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52" w:lineRule="exact"/>
        <w:ind w:left="0" w:leftChars="0" w:right="0" w:rightChars="0" w:firstLine="720" w:firstLineChars="200"/>
        <w:jc w:val="both"/>
        <w:textAlignment w:val="auto"/>
        <w:rPr>
          <w:rFonts w:hint="default"/>
          <w:sz w:val="36"/>
          <w:szCs w:val="36"/>
          <w:lang w:val="en-US" w:eastAsia="zh-CN"/>
        </w:rPr>
      </w:pPr>
      <w:r>
        <w:rPr>
          <w:rFonts w:hint="eastAsia" w:ascii="仿宋_GB2312" w:hAnsi="仿宋_GB2312" w:eastAsia="仿宋_GB2312" w:cs="仿宋_GB2312"/>
          <w:kern w:val="2"/>
          <w:sz w:val="36"/>
          <w:szCs w:val="36"/>
          <w:lang w:val="en-US" w:eastAsia="zh-CN" w:bidi="ar"/>
        </w:rPr>
        <w:t>2023年福建省泉州市援洛项目7项，援助资金5000万元（含计划外2000万元），年度完成投资4350万元。中远海运集团2023年计划内援洛项目20项，援助资金2700万元（含计划外200万元），已完成投资16</w:t>
      </w:r>
      <w:r>
        <w:rPr>
          <w:rFonts w:hint="eastAsia" w:ascii="仿宋_GB2312" w:hAnsi="仿宋_GB2312" w:eastAsia="仿宋_GB2312" w:cs="仿宋_GB2312"/>
          <w:color w:val="000000" w:themeColor="text1"/>
          <w:kern w:val="2"/>
          <w:sz w:val="36"/>
          <w:szCs w:val="36"/>
          <w:lang w:val="en-US" w:eastAsia="zh-CN" w:bidi="ar"/>
          <w14:textFill>
            <w14:solidFill>
              <w14:schemeClr w14:val="tx1"/>
            </w14:solidFill>
          </w14:textFill>
        </w:rPr>
        <w:t>45万元。江苏省援助资金2727万元，完成投资2727万元。</w:t>
      </w:r>
      <w:r>
        <w:rPr>
          <w:rFonts w:hint="eastAsia" w:ascii="仿宋_GB2312" w:hAnsi="仿宋_GB2312" w:eastAsia="仿宋_GB2312" w:cs="仿宋_GB2312"/>
          <w:kern w:val="2"/>
          <w:sz w:val="36"/>
          <w:szCs w:val="36"/>
          <w:lang w:val="en-US" w:eastAsia="zh-CN" w:bidi="ar"/>
        </w:rPr>
        <w:t>2023年人才援洛24人，组织致富带头人赴福建泉州、广东开展“三交”培训活动。</w:t>
      </w:r>
    </w:p>
    <w:p>
      <w:pPr>
        <w:keepNext w:val="0"/>
        <w:keepLines w:val="0"/>
        <w:pageBreakBefore w:val="0"/>
        <w:widowControl w:val="0"/>
        <w:numPr>
          <w:ilvl w:val="0"/>
          <w:numId w:val="1"/>
        </w:numPr>
        <w:suppressLineNumbers w:val="0"/>
        <w:kinsoku/>
        <w:wordWrap/>
        <w:overflowPunct/>
        <w:topLinePunct w:val="0"/>
        <w:autoSpaceDE w:val="0"/>
        <w:autoSpaceDN/>
        <w:bidi w:val="0"/>
        <w:adjustRightInd/>
        <w:snapToGrid/>
        <w:spacing w:before="0" w:beforeAutospacing="0" w:after="0" w:afterAutospacing="0" w:line="552" w:lineRule="exact"/>
        <w:ind w:left="0" w:leftChars="0" w:right="0" w:rightChars="0" w:firstLine="723" w:firstLineChars="200"/>
        <w:jc w:val="both"/>
        <w:textAlignment w:val="auto"/>
        <w:rPr>
          <w:rFonts w:hint="eastAsia" w:ascii="楷体_GB2312" w:hAnsi="楷体_GB2312" w:eastAsia="楷体_GB2312" w:cs="楷体_GB2312"/>
          <w:b/>
          <w:bCs/>
          <w:kern w:val="2"/>
          <w:sz w:val="36"/>
          <w:szCs w:val="36"/>
          <w:lang w:val="en-US" w:eastAsia="zh-CN" w:bidi="ar"/>
        </w:rPr>
      </w:pPr>
      <w:r>
        <w:rPr>
          <w:rFonts w:hint="eastAsia" w:ascii="楷体_GB2312" w:hAnsi="楷体_GB2312" w:eastAsia="楷体_GB2312" w:cs="楷体_GB2312"/>
          <w:b/>
          <w:bCs/>
          <w:kern w:val="2"/>
          <w:sz w:val="36"/>
          <w:szCs w:val="36"/>
          <w:lang w:val="en-US" w:eastAsia="zh-CN" w:bidi="ar"/>
        </w:rPr>
        <w:t>转作风、增效能，推动政府建设更加过硬</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52" w:lineRule="exact"/>
        <w:ind w:left="0" w:leftChars="0" w:right="0" w:rightChars="0" w:firstLine="720" w:firstLineChars="200"/>
        <w:jc w:val="both"/>
        <w:textAlignment w:val="auto"/>
        <w:rPr>
          <w:rFonts w:hint="eastAsia" w:ascii="仿宋_GB2312" w:hAnsi="仿宋_GB2312" w:eastAsia="仿宋_GB2312" w:cs="仿宋_GB2312"/>
          <w:kern w:val="2"/>
          <w:sz w:val="36"/>
          <w:szCs w:val="36"/>
          <w:lang w:val="en-US" w:eastAsia="zh-CN" w:bidi="ar"/>
        </w:rPr>
      </w:pPr>
      <w:r>
        <w:rPr>
          <w:rFonts w:hint="eastAsia" w:ascii="仿宋_GB2312" w:hAnsi="仿宋_GB2312" w:eastAsia="仿宋_GB2312" w:cs="仿宋_GB2312"/>
          <w:kern w:val="2"/>
          <w:sz w:val="36"/>
          <w:szCs w:val="36"/>
          <w:lang w:val="en-US" w:eastAsia="zh-CN" w:bidi="ar"/>
        </w:rPr>
        <w:t>进一步推动决策程序科学化、民主化、法治化，强化法治建设，</w:t>
      </w:r>
      <w:r>
        <w:rPr>
          <w:rFonts w:hint="eastAsia" w:ascii="仿宋_GB2312" w:hAnsi="仿宋_GB2312" w:eastAsia="仿宋_GB2312" w:cs="仿宋_GB2312"/>
          <w:color w:val="000000" w:themeColor="text1"/>
          <w:kern w:val="2"/>
          <w:sz w:val="36"/>
          <w:szCs w:val="36"/>
          <w:lang w:val="en-US" w:eastAsia="zh-CN" w:bidi="ar"/>
          <w14:textFill>
            <w14:solidFill>
              <w14:schemeClr w14:val="tx1"/>
            </w14:solidFill>
          </w14:textFill>
        </w:rPr>
        <w:t>共开展相关</w:t>
      </w:r>
      <w:r>
        <w:rPr>
          <w:rFonts w:hint="eastAsia" w:ascii="仿宋_GB2312" w:hAnsi="仿宋_GB2312" w:eastAsia="仿宋_GB2312" w:cs="仿宋_GB2312"/>
          <w:b w:val="0"/>
          <w:bCs w:val="0"/>
          <w:color w:val="000000" w:themeColor="text1"/>
          <w:kern w:val="2"/>
          <w:sz w:val="36"/>
          <w:szCs w:val="36"/>
          <w:lang w:val="en-US" w:eastAsia="zh-CN" w:bidi="ar"/>
          <w14:textFill>
            <w14:solidFill>
              <w14:schemeClr w14:val="tx1"/>
            </w14:solidFill>
          </w14:textFill>
        </w:rPr>
        <w:t>文件合法性审查27件、村规民约法治审核70件。</w:t>
      </w:r>
      <w:r>
        <w:rPr>
          <w:rFonts w:hint="eastAsia" w:ascii="仿宋_GB2312" w:hAnsi="仿宋_GB2312" w:eastAsia="仿宋_GB2312" w:cs="仿宋_GB2312"/>
          <w:kern w:val="2"/>
          <w:sz w:val="36"/>
          <w:szCs w:val="36"/>
          <w:lang w:val="en-US" w:eastAsia="zh-CN" w:bidi="ar"/>
        </w:rPr>
        <w:t>加强廉政建设，通过开展审查审计、讲好专题党课、召开政府系统廉政工作会议、组织廉政学习等，全力推进全面从严治党走深走实，2023年，先后对7个单位主要领导离任经济责任、2家单位、5类资金及3类项目等进行了审计和督导。政府党组组织开展廉政学习8次，党组成员在分管领域讲专题党课10余次。</w:t>
      </w:r>
      <w:r>
        <w:rPr>
          <w:rFonts w:hint="eastAsia" w:ascii="仿宋_GB2312" w:hAnsi="仿宋_GB2312" w:eastAsia="仿宋_GB2312" w:cs="仿宋_GB2312"/>
          <w:color w:val="000000" w:themeColor="text1"/>
          <w:kern w:val="2"/>
          <w:sz w:val="36"/>
          <w:szCs w:val="36"/>
          <w:lang w:val="en-US" w:eastAsia="zh-CN" w:bidi="ar"/>
          <w14:textFill>
            <w14:solidFill>
              <w14:schemeClr w14:val="tx1"/>
            </w14:solidFill>
          </w14:textFill>
        </w:rPr>
        <w:t>办理县十三届人民代表大会第四次会议、政协四届三次会议期间县人大代表意见建议127件、政协委员提案64件。</w:t>
      </w:r>
      <w:r>
        <w:rPr>
          <w:rFonts w:hint="eastAsia" w:ascii="仿宋_GB2312" w:hAnsi="仿宋_GB2312" w:eastAsia="仿宋_GB2312" w:cs="仿宋_GB2312"/>
          <w:kern w:val="2"/>
          <w:sz w:val="36"/>
          <w:szCs w:val="36"/>
          <w:lang w:val="en-US" w:eastAsia="zh-CN" w:bidi="ar"/>
        </w:rPr>
        <w:t>严格执行重大事项请示报告制度，县政府党组向县委请示报告重大事项44件。</w:t>
      </w:r>
    </w:p>
    <w:p>
      <w:pPr>
        <w:keepNext w:val="0"/>
        <w:keepLines w:val="0"/>
        <w:pageBreakBefore w:val="0"/>
        <w:widowControl w:val="0"/>
        <w:numPr>
          <w:ilvl w:val="0"/>
          <w:numId w:val="1"/>
        </w:numPr>
        <w:suppressLineNumbers w:val="0"/>
        <w:kinsoku/>
        <w:wordWrap/>
        <w:overflowPunct/>
        <w:topLinePunct w:val="0"/>
        <w:autoSpaceDE w:val="0"/>
        <w:autoSpaceDN/>
        <w:bidi w:val="0"/>
        <w:adjustRightInd/>
        <w:snapToGrid/>
        <w:spacing w:before="0" w:beforeAutospacing="0" w:after="0" w:afterAutospacing="0" w:line="552" w:lineRule="exact"/>
        <w:ind w:left="0" w:leftChars="0" w:right="0" w:rightChars="0" w:firstLine="723" w:firstLineChars="200"/>
        <w:jc w:val="both"/>
        <w:textAlignment w:val="auto"/>
        <w:rPr>
          <w:rFonts w:hint="eastAsia" w:ascii="楷体_GB2312" w:hAnsi="楷体_GB2312" w:eastAsia="楷体_GB2312" w:cs="楷体_GB2312"/>
          <w:b/>
          <w:bCs/>
          <w:kern w:val="2"/>
          <w:sz w:val="36"/>
          <w:szCs w:val="36"/>
          <w:lang w:val="en-US" w:eastAsia="zh-CN" w:bidi="ar"/>
        </w:rPr>
      </w:pPr>
      <w:r>
        <w:rPr>
          <w:rFonts w:hint="eastAsia" w:ascii="楷体_GB2312" w:hAnsi="楷体_GB2312" w:eastAsia="楷体_GB2312" w:cs="楷体_GB2312"/>
          <w:b/>
          <w:bCs/>
          <w:kern w:val="2"/>
          <w:sz w:val="36"/>
          <w:szCs w:val="36"/>
          <w:lang w:val="en-US" w:eastAsia="zh-CN" w:bidi="ar"/>
        </w:rPr>
        <w:t>明方向、扬满帆，推动深化改革走深走实</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52" w:lineRule="exact"/>
        <w:ind w:left="0" w:leftChars="0" w:right="0" w:rightChars="0" w:firstLine="723" w:firstLineChars="200"/>
        <w:jc w:val="both"/>
        <w:textAlignment w:val="auto"/>
        <w:rPr>
          <w:rFonts w:hint="default" w:ascii="仿宋_GB2312" w:hAnsi="仿宋_GB2312" w:eastAsia="仿宋_GB2312" w:cs="仿宋_GB2312"/>
          <w:kern w:val="2"/>
          <w:sz w:val="36"/>
          <w:szCs w:val="36"/>
          <w:lang w:val="en-US" w:eastAsia="zh-CN" w:bidi="ar"/>
        </w:rPr>
      </w:pPr>
      <w:r>
        <w:rPr>
          <w:rFonts w:hint="eastAsia" w:ascii="仿宋_GB2312" w:hAnsi="仿宋_GB2312" w:eastAsia="仿宋_GB2312" w:cs="仿宋_GB2312"/>
          <w:b/>
          <w:bCs/>
          <w:kern w:val="2"/>
          <w:sz w:val="36"/>
          <w:szCs w:val="36"/>
          <w:lang w:val="en-US" w:eastAsia="zh-CN" w:bidi="ar"/>
        </w:rPr>
        <w:t>不断推动“放管服”改革。</w:t>
      </w:r>
      <w:r>
        <w:rPr>
          <w:rFonts w:hint="eastAsia" w:ascii="仿宋_GB2312" w:hAnsi="仿宋_GB2312" w:eastAsia="仿宋_GB2312" w:cs="仿宋_GB2312"/>
          <w:kern w:val="2"/>
          <w:sz w:val="36"/>
          <w:szCs w:val="36"/>
          <w:lang w:val="en-US" w:eastAsia="zh-CN" w:bidi="ar"/>
        </w:rPr>
        <w:t>坚持落实政务服务事项“一网通办”，切实让群众少跑路、数据循环助跑。县政务服务大厅办件量达</w:t>
      </w:r>
      <w:r>
        <w:rPr>
          <w:rFonts w:hint="eastAsia" w:ascii="仿宋_GB2312" w:hAnsi="仿宋_GB2312" w:eastAsia="仿宋_GB2312" w:cs="仿宋_GB2312"/>
          <w:color w:val="000000" w:themeColor="text1"/>
          <w:kern w:val="2"/>
          <w:sz w:val="36"/>
          <w:szCs w:val="36"/>
          <w:lang w:val="en-US" w:eastAsia="zh-CN" w:bidi="ar"/>
          <w14:textFill>
            <w14:solidFill>
              <w14:schemeClr w14:val="tx1"/>
            </w14:solidFill>
          </w14:textFill>
        </w:rPr>
        <w:t>33700件，办结率达99％。</w:t>
      </w:r>
      <w:r>
        <w:rPr>
          <w:rFonts w:hint="eastAsia" w:ascii="仿宋_GB2312" w:hAnsi="仿宋_GB2312" w:eastAsia="仿宋_GB2312" w:cs="仿宋_GB2312"/>
          <w:b/>
          <w:bCs/>
          <w:kern w:val="2"/>
          <w:sz w:val="36"/>
          <w:szCs w:val="36"/>
          <w:lang w:val="en-US" w:eastAsia="zh-CN" w:bidi="ar"/>
        </w:rPr>
        <w:t>持续优化营商环境。</w:t>
      </w:r>
      <w:r>
        <w:rPr>
          <w:rFonts w:hint="eastAsia" w:ascii="仿宋_GB2312" w:hAnsi="仿宋_GB2312" w:eastAsia="仿宋_GB2312" w:cs="仿宋_GB2312"/>
          <w:kern w:val="2"/>
          <w:sz w:val="36"/>
          <w:szCs w:val="36"/>
          <w:lang w:val="en-US" w:eastAsia="zh-CN" w:bidi="ar"/>
        </w:rPr>
        <w:t>简化基建项目拨款手续审批流程，提高拨款服务质量；提升市场主体准入便利度，</w:t>
      </w:r>
      <w:r>
        <w:rPr>
          <w:rFonts w:hint="eastAsia" w:ascii="仿宋_GB2312" w:hAnsi="仿宋_GB2312" w:eastAsia="仿宋_GB2312" w:cs="仿宋_GB2312"/>
          <w:color w:val="000000" w:themeColor="text1"/>
          <w:kern w:val="2"/>
          <w:sz w:val="36"/>
          <w:szCs w:val="36"/>
          <w:lang w:val="en-US" w:eastAsia="zh-CN" w:bidi="ar"/>
          <w14:textFill>
            <w14:solidFill>
              <w14:schemeClr w14:val="tx1"/>
            </w14:solidFill>
          </w14:textFill>
        </w:rPr>
        <w:t>缩减了登记时间</w:t>
      </w:r>
      <w:r>
        <w:rPr>
          <w:rFonts w:hint="eastAsia" w:ascii="仿宋_GB2312" w:hAnsi="仿宋_GB2312" w:eastAsia="仿宋_GB2312" w:cs="仿宋_GB2312"/>
          <w:kern w:val="2"/>
          <w:sz w:val="36"/>
          <w:szCs w:val="36"/>
          <w:lang w:val="en-US" w:eastAsia="zh-CN" w:bidi="ar"/>
        </w:rPr>
        <w:t>，</w:t>
      </w:r>
      <w:r>
        <w:rPr>
          <w:rFonts w:hint="eastAsia" w:ascii="仿宋_GB2312" w:hAnsi="仿宋_GB2312" w:eastAsia="仿宋_GB2312" w:cs="仿宋_GB2312"/>
          <w:color w:val="000000" w:themeColor="text1"/>
          <w:kern w:val="2"/>
          <w:sz w:val="36"/>
          <w:szCs w:val="36"/>
          <w:lang w:val="en-US" w:eastAsia="zh-CN" w:bidi="ar"/>
          <w14:textFill>
            <w14:solidFill>
              <w14:schemeClr w14:val="tx1"/>
            </w14:solidFill>
          </w14:textFill>
        </w:rPr>
        <w:t>全县各类市场主体2894户，新增612户，同比增长27%；注册资金34.7亿元，增长4.9亿元，同比增长17%。</w:t>
      </w:r>
      <w:r>
        <w:rPr>
          <w:rFonts w:hint="eastAsia" w:ascii="仿宋_GB2312" w:hAnsi="仿宋_GB2312" w:eastAsia="仿宋_GB2312" w:cs="仿宋_GB2312"/>
          <w:b/>
          <w:bCs/>
          <w:kern w:val="2"/>
          <w:sz w:val="36"/>
          <w:szCs w:val="36"/>
          <w:lang w:val="en-US" w:eastAsia="zh-CN" w:bidi="ar"/>
        </w:rPr>
        <w:t>落实法律顾问制度。</w:t>
      </w:r>
      <w:r>
        <w:rPr>
          <w:rFonts w:hint="eastAsia" w:ascii="仿宋_GB2312" w:hAnsi="仿宋_GB2312" w:eastAsia="仿宋_GB2312" w:cs="仿宋_GB2312"/>
          <w:kern w:val="2"/>
          <w:sz w:val="36"/>
          <w:szCs w:val="36"/>
          <w:lang w:val="en-US" w:eastAsia="zh-CN" w:bidi="ar"/>
        </w:rPr>
        <w:t>政府法律顾问参与审查</w:t>
      </w:r>
      <w:r>
        <w:rPr>
          <w:rFonts w:hint="eastAsia" w:ascii="仿宋_GB2312" w:hAnsi="仿宋_GB2312" w:eastAsia="仿宋_GB2312" w:cs="仿宋_GB2312"/>
          <w:color w:val="000000" w:themeColor="text1"/>
          <w:kern w:val="2"/>
          <w:sz w:val="36"/>
          <w:szCs w:val="36"/>
          <w:lang w:val="en-US" w:eastAsia="zh-CN" w:bidi="ar"/>
          <w14:textFill>
            <w14:solidFill>
              <w14:schemeClr w14:val="tx1"/>
            </w14:solidFill>
          </w14:textFill>
        </w:rPr>
        <w:t>政府重大决策35项，提供法律咨询60余次</w:t>
      </w:r>
      <w:r>
        <w:rPr>
          <w:rFonts w:hint="eastAsia" w:ascii="仿宋_GB2312" w:hAnsi="仿宋_GB2312" w:eastAsia="仿宋_GB2312" w:cs="仿宋_GB2312"/>
          <w:color w:val="5B9BD5" w:themeColor="accent1"/>
          <w:kern w:val="2"/>
          <w:sz w:val="36"/>
          <w:szCs w:val="36"/>
          <w:lang w:val="en-US" w:eastAsia="zh-CN" w:bidi="ar"/>
          <w14:textFill>
            <w14:solidFill>
              <w14:schemeClr w14:val="accent1"/>
            </w14:solidFill>
          </w14:textFill>
        </w:rPr>
        <w:t>。</w:t>
      </w:r>
      <w:r>
        <w:rPr>
          <w:rFonts w:hint="eastAsia" w:ascii="仿宋_GB2312" w:hAnsi="仿宋_GB2312" w:eastAsia="仿宋_GB2312" w:cs="仿宋_GB2312"/>
          <w:b/>
          <w:bCs/>
          <w:kern w:val="2"/>
          <w:sz w:val="36"/>
          <w:szCs w:val="36"/>
          <w:lang w:val="en-US" w:eastAsia="zh-CN" w:bidi="ar"/>
        </w:rPr>
        <w:t>推动重点领域改革。</w:t>
      </w:r>
      <w:r>
        <w:rPr>
          <w:rFonts w:hint="eastAsia" w:ascii="仿宋_GB2312" w:hAnsi="仿宋_GB2312" w:eastAsia="仿宋_GB2312" w:cs="仿宋_GB2312"/>
          <w:kern w:val="2"/>
          <w:sz w:val="36"/>
          <w:szCs w:val="36"/>
          <w:lang w:val="en-US" w:eastAsia="zh-CN" w:bidi="ar"/>
        </w:rPr>
        <w:t>着力推动县域综合医改和学前教育普及普惠工作，不断深化医疗教育两个民生领域改革。</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52" w:lineRule="exact"/>
        <w:ind w:left="0" w:leftChars="0" w:right="0" w:rightChars="0" w:firstLine="723" w:firstLineChars="200"/>
        <w:jc w:val="both"/>
        <w:textAlignment w:val="auto"/>
        <w:rPr>
          <w:rFonts w:hint="default" w:ascii="仿宋_GB2312" w:hAnsi="仿宋_GB2312" w:eastAsia="仿宋_GB2312" w:cs="仿宋_GB2312"/>
          <w:b w:val="0"/>
          <w:bCs w:val="0"/>
          <w:color w:val="000000" w:themeColor="text1"/>
          <w:kern w:val="2"/>
          <w:sz w:val="36"/>
          <w:szCs w:val="36"/>
          <w:lang w:val="en-US" w:eastAsia="zh-CN" w:bidi="ar"/>
          <w14:textFill>
            <w14:solidFill>
              <w14:schemeClr w14:val="tx1"/>
            </w14:solidFill>
          </w14:textFill>
        </w:rPr>
      </w:pPr>
      <w:r>
        <w:rPr>
          <w:rFonts w:hint="eastAsia" w:ascii="仿宋_GB2312" w:hAnsi="仿宋_GB2312" w:eastAsia="仿宋_GB2312" w:cs="仿宋_GB2312"/>
          <w:b/>
          <w:bCs/>
          <w:kern w:val="2"/>
          <w:sz w:val="36"/>
          <w:szCs w:val="36"/>
          <w:lang w:val="en-US" w:eastAsia="zh-CN" w:bidi="ar"/>
        </w:rPr>
        <w:t>各位代表！一年来，</w:t>
      </w:r>
      <w:r>
        <w:rPr>
          <w:rFonts w:hint="eastAsia" w:ascii="仿宋_GB2312" w:hAnsi="仿宋_GB2312" w:eastAsia="仿宋_GB2312" w:cs="仿宋_GB2312"/>
          <w:b w:val="0"/>
          <w:bCs w:val="0"/>
          <w:kern w:val="2"/>
          <w:sz w:val="36"/>
          <w:szCs w:val="36"/>
          <w:lang w:val="en-US" w:eastAsia="zh-CN" w:bidi="ar"/>
        </w:rPr>
        <w:t>我们深入开展主题教育，牢牢把握“学思想、强党性、重实践、建新功”的总要求，在以学铸魂、以学增智、以学正风、以学促干上取得了明显成效</w:t>
      </w:r>
      <w:r>
        <w:rPr>
          <w:rFonts w:hint="eastAsia" w:ascii="仿宋_GB2312" w:hAnsi="仿宋_GB2312" w:eastAsia="仿宋_GB2312" w:cs="仿宋_GB2312"/>
          <w:b w:val="0"/>
          <w:bCs w:val="0"/>
          <w:color w:val="000000" w:themeColor="text1"/>
          <w:kern w:val="2"/>
          <w:sz w:val="36"/>
          <w:szCs w:val="36"/>
          <w:lang w:val="en-US" w:eastAsia="zh-CN" w:bidi="ar"/>
          <w14:textFill>
            <w14:solidFill>
              <w14:schemeClr w14:val="tx1"/>
            </w14:solidFill>
          </w14:textFill>
        </w:rPr>
        <w:t>，政府党组成员开展课题调研3个、问题检视整改13项、解决民生实事37件、建立完善各类机制3个，十届自治区党委第二轮巡视第三巡视组反馈政府领域涉及的4方面6大项24个问题已经全部整改到位。</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52" w:lineRule="exact"/>
        <w:ind w:left="0" w:leftChars="0" w:right="0" w:rightChars="0" w:firstLine="720" w:firstLineChars="200"/>
        <w:jc w:val="both"/>
        <w:textAlignment w:val="auto"/>
        <w:rPr>
          <w:rFonts w:hint="eastAsia" w:ascii="仿宋_GB2312" w:hAnsi="仿宋_GB2312" w:eastAsia="仿宋_GB2312" w:cs="仿宋_GB2312"/>
          <w:kern w:val="2"/>
          <w:sz w:val="36"/>
          <w:szCs w:val="36"/>
          <w:lang w:val="en-US" w:eastAsia="zh-CN" w:bidi="ar"/>
        </w:rPr>
      </w:pPr>
      <w:r>
        <w:rPr>
          <w:rFonts w:hint="eastAsia" w:ascii="仿宋_GB2312" w:hAnsi="仿宋_GB2312" w:eastAsia="仿宋_GB2312" w:cs="仿宋_GB2312"/>
          <w:kern w:val="2"/>
          <w:sz w:val="36"/>
          <w:szCs w:val="36"/>
          <w:lang w:val="en-US" w:eastAsia="zh-CN" w:bidi="ar"/>
        </w:rPr>
        <w:t>同时，我们全面加强档案、消防、气象、邮政服务、编译等工作，积极支持工会、共青团、妇联、残联、工商联等群团组织工作，汇聚了推进洛隆长治久安和高质量发展的磅礴力量。</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52" w:lineRule="exact"/>
        <w:ind w:left="0" w:leftChars="0" w:right="0" w:rightChars="0" w:firstLine="723" w:firstLineChars="200"/>
        <w:jc w:val="both"/>
        <w:textAlignment w:val="auto"/>
        <w:rPr>
          <w:rFonts w:hint="eastAsia" w:ascii="仿宋_GB2312" w:hAnsi="仿宋_GB2312" w:eastAsia="仿宋_GB2312" w:cs="仿宋_GB2312"/>
          <w:kern w:val="2"/>
          <w:sz w:val="36"/>
          <w:szCs w:val="36"/>
          <w:lang w:val="en-US" w:eastAsia="zh-CN" w:bidi="ar"/>
        </w:rPr>
      </w:pPr>
      <w:r>
        <w:rPr>
          <w:rFonts w:hint="eastAsia" w:ascii="仿宋_GB2312" w:hAnsi="仿宋_GB2312" w:eastAsia="仿宋_GB2312" w:cs="仿宋_GB2312"/>
          <w:b/>
          <w:bCs/>
          <w:kern w:val="2"/>
          <w:sz w:val="36"/>
          <w:szCs w:val="36"/>
          <w:lang w:val="en-US" w:eastAsia="zh-CN" w:bidi="ar"/>
        </w:rPr>
        <w:t>各位代表！</w:t>
      </w:r>
      <w:r>
        <w:rPr>
          <w:rFonts w:hint="eastAsia" w:ascii="仿宋_GB2312" w:hAnsi="仿宋_GB2312" w:eastAsia="仿宋_GB2312" w:cs="仿宋_GB2312"/>
          <w:kern w:val="2"/>
          <w:sz w:val="36"/>
          <w:szCs w:val="36"/>
          <w:lang w:val="en-US" w:eastAsia="zh-CN" w:bidi="ar"/>
        </w:rPr>
        <w:t>2023年政府工作成绩的取得，是在以习近平新时代中国特色社会主义思想的科学指引下，在区党委政府、市委市政府和县委的正确领导下，在对口援洛省市企业无私援助下，经过全县上下团结奋斗取得的。在此，我代表县人民政府，向全县各族干部群众，向对口援洛省市企业，向各位人大代表、政协委员和离退休干部职工，向驻洛企事业单位、驻洛部队，向奋战在各行各业的建设者、劳动者，向所有关心支持洛隆改革发展稳定事业的社会各界人士，致以衷心的感谢和崇高的敬意！</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52" w:lineRule="exact"/>
        <w:ind w:left="0" w:leftChars="0" w:right="0" w:rightChars="0" w:firstLine="720" w:firstLineChars="200"/>
        <w:jc w:val="both"/>
        <w:textAlignment w:val="auto"/>
        <w:rPr>
          <w:rFonts w:hint="eastAsia" w:ascii="仿宋_GB2312" w:hAnsi="仿宋_GB2312" w:eastAsia="仿宋_GB2312" w:cs="仿宋_GB2312"/>
          <w:color w:val="00B0F0"/>
          <w:kern w:val="2"/>
          <w:sz w:val="36"/>
          <w:szCs w:val="36"/>
          <w:lang w:val="en-US" w:eastAsia="zh-CN" w:bidi="ar"/>
        </w:rPr>
      </w:pPr>
      <w:r>
        <w:rPr>
          <w:rFonts w:hint="eastAsia" w:ascii="仿宋_GB2312" w:hAnsi="仿宋_GB2312" w:eastAsia="仿宋_GB2312" w:cs="仿宋_GB2312"/>
          <w:kern w:val="2"/>
          <w:sz w:val="36"/>
          <w:szCs w:val="36"/>
          <w:lang w:val="en-US" w:eastAsia="zh-CN" w:bidi="ar"/>
        </w:rPr>
        <w:t>在总结成绩的同时，我们也清醒地认识到，政府工作还存在一些不足，经济社会发展中还有不少困难和挑战。主要表现在：</w:t>
      </w:r>
      <w:r>
        <w:rPr>
          <w:rFonts w:hint="eastAsia" w:ascii="仿宋_GB2312" w:hAnsi="仿宋_GB2312" w:eastAsia="仿宋_GB2312" w:cs="仿宋_GB2312"/>
          <w:b/>
          <w:bCs/>
          <w:color w:val="000000" w:themeColor="text1"/>
          <w:kern w:val="2"/>
          <w:sz w:val="36"/>
          <w:szCs w:val="36"/>
          <w:lang w:val="en-US" w:eastAsia="zh-CN" w:bidi="ar"/>
          <w14:textFill>
            <w14:solidFill>
              <w14:schemeClr w14:val="tx1"/>
            </w14:solidFill>
          </w14:textFill>
        </w:rPr>
        <w:t>一是</w:t>
      </w:r>
      <w:r>
        <w:rPr>
          <w:rFonts w:hint="eastAsia" w:ascii="仿宋_GB2312" w:hAnsi="仿宋_GB2312" w:eastAsia="仿宋_GB2312" w:cs="仿宋_GB2312"/>
          <w:b w:val="0"/>
          <w:bCs w:val="0"/>
          <w:color w:val="000000" w:themeColor="text1"/>
          <w:kern w:val="2"/>
          <w:sz w:val="36"/>
          <w:szCs w:val="36"/>
          <w:lang w:val="en-US" w:eastAsia="zh-CN" w:bidi="ar"/>
          <w14:textFill>
            <w14:solidFill>
              <w14:schemeClr w14:val="tx1"/>
            </w14:solidFill>
          </w14:textFill>
        </w:rPr>
        <w:t>县域经济总量偏小，财政收入偏低，刚性支出压力大，收支矛盾凸显，政府化债任务繁重。</w:t>
      </w:r>
      <w:r>
        <w:rPr>
          <w:rFonts w:hint="eastAsia" w:ascii="仿宋_GB2312" w:hAnsi="仿宋_GB2312" w:eastAsia="仿宋_GB2312" w:cs="仿宋_GB2312"/>
          <w:b/>
          <w:bCs/>
          <w:color w:val="000000" w:themeColor="text1"/>
          <w:kern w:val="2"/>
          <w:sz w:val="36"/>
          <w:szCs w:val="36"/>
          <w:lang w:val="en-US" w:eastAsia="zh-CN" w:bidi="ar"/>
          <w14:textFill>
            <w14:solidFill>
              <w14:schemeClr w14:val="tx1"/>
            </w14:solidFill>
          </w14:textFill>
        </w:rPr>
        <w:t>二是</w:t>
      </w:r>
      <w:r>
        <w:rPr>
          <w:rFonts w:hint="eastAsia" w:ascii="仿宋_GB2312" w:hAnsi="仿宋_GB2312" w:eastAsia="仿宋_GB2312" w:cs="仿宋_GB2312"/>
          <w:b w:val="0"/>
          <w:bCs w:val="0"/>
          <w:color w:val="000000" w:themeColor="text1"/>
          <w:kern w:val="2"/>
          <w:sz w:val="36"/>
          <w:szCs w:val="36"/>
          <w:lang w:val="en-US" w:eastAsia="zh-CN" w:bidi="ar"/>
          <w14:textFill>
            <w14:solidFill>
              <w14:schemeClr w14:val="tx1"/>
            </w14:solidFill>
          </w14:textFill>
        </w:rPr>
        <w:t>营商环境还需持续优化，项目建设用地供需矛盾突出，项目落地转化能力仍需加强。</w:t>
      </w:r>
      <w:r>
        <w:rPr>
          <w:rFonts w:hint="eastAsia" w:ascii="仿宋_GB2312" w:hAnsi="仿宋_GB2312" w:eastAsia="仿宋_GB2312" w:cs="仿宋_GB2312"/>
          <w:b/>
          <w:bCs/>
          <w:color w:val="000000" w:themeColor="text1"/>
          <w:kern w:val="2"/>
          <w:sz w:val="36"/>
          <w:szCs w:val="36"/>
          <w:lang w:val="en-US" w:eastAsia="zh-CN" w:bidi="ar"/>
          <w14:textFill>
            <w14:solidFill>
              <w14:schemeClr w14:val="tx1"/>
            </w14:solidFill>
          </w14:textFill>
        </w:rPr>
        <w:t>三是</w:t>
      </w:r>
      <w:r>
        <w:rPr>
          <w:rFonts w:hint="eastAsia" w:ascii="仿宋_GB2312" w:hAnsi="仿宋_GB2312" w:eastAsia="仿宋_GB2312" w:cs="仿宋_GB2312"/>
          <w:color w:val="000000" w:themeColor="text1"/>
          <w:kern w:val="2"/>
          <w:sz w:val="36"/>
          <w:szCs w:val="36"/>
          <w:lang w:val="en-US" w:eastAsia="zh-CN" w:bidi="ar"/>
          <w14:textFill>
            <w14:solidFill>
              <w14:schemeClr w14:val="tx1"/>
            </w14:solidFill>
          </w14:textFill>
        </w:rPr>
        <w:t>产业结构单一，带动能力不强，部分产业项目急需优化和提档升级。</w:t>
      </w:r>
      <w:r>
        <w:rPr>
          <w:rFonts w:hint="eastAsia" w:ascii="仿宋_GB2312" w:hAnsi="仿宋_GB2312" w:eastAsia="仿宋_GB2312" w:cs="仿宋_GB2312"/>
          <w:b/>
          <w:bCs/>
          <w:color w:val="000000" w:themeColor="text1"/>
          <w:kern w:val="2"/>
          <w:sz w:val="36"/>
          <w:szCs w:val="36"/>
          <w:lang w:val="en-US" w:eastAsia="zh-CN" w:bidi="ar"/>
          <w14:textFill>
            <w14:solidFill>
              <w14:schemeClr w14:val="tx1"/>
            </w14:solidFill>
          </w14:textFill>
        </w:rPr>
        <w:t>四是</w:t>
      </w:r>
      <w:r>
        <w:rPr>
          <w:rFonts w:hint="eastAsia" w:ascii="仿宋_GB2312" w:hAnsi="仿宋_GB2312" w:eastAsia="仿宋_GB2312" w:cs="仿宋_GB2312"/>
          <w:color w:val="000000" w:themeColor="text1"/>
          <w:kern w:val="2"/>
          <w:sz w:val="36"/>
          <w:szCs w:val="36"/>
          <w:lang w:val="en-US" w:eastAsia="zh-CN" w:bidi="ar"/>
          <w14:textFill>
            <w14:solidFill>
              <w14:schemeClr w14:val="tx1"/>
            </w14:solidFill>
          </w14:textFill>
        </w:rPr>
        <w:t>城乡建设、民生事业仍有不少短板，城乡区域发展不平衡问题依然存在，还需着力补齐学前教育普及普惠等方面短板弱项。</w:t>
      </w:r>
      <w:r>
        <w:rPr>
          <w:rFonts w:hint="eastAsia" w:ascii="仿宋_GB2312" w:hAnsi="仿宋_GB2312" w:eastAsia="仿宋_GB2312" w:cs="仿宋_GB2312"/>
          <w:b/>
          <w:bCs/>
          <w:color w:val="000000" w:themeColor="text1"/>
          <w:kern w:val="2"/>
          <w:sz w:val="36"/>
          <w:szCs w:val="36"/>
          <w:lang w:val="en-US" w:eastAsia="zh-CN" w:bidi="ar"/>
          <w14:textFill>
            <w14:solidFill>
              <w14:schemeClr w14:val="tx1"/>
            </w14:solidFill>
          </w14:textFill>
        </w:rPr>
        <w:t>五是</w:t>
      </w:r>
      <w:r>
        <w:rPr>
          <w:rFonts w:hint="eastAsia" w:ascii="仿宋_GB2312" w:hAnsi="仿宋_GB2312" w:eastAsia="仿宋_GB2312" w:cs="仿宋_GB2312"/>
          <w:color w:val="000000" w:themeColor="text1"/>
          <w:kern w:val="2"/>
          <w:sz w:val="36"/>
          <w:szCs w:val="36"/>
          <w:lang w:val="en-US" w:eastAsia="zh-CN" w:bidi="ar"/>
          <w14:textFill>
            <w14:solidFill>
              <w14:schemeClr w14:val="tx1"/>
            </w14:solidFill>
          </w14:textFill>
        </w:rPr>
        <w:t>干部需进一步解放思想、更新观念，不敢为、不愿为、不善为现象仍然存在，党风廉政建设任重道远。</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52" w:lineRule="exact"/>
        <w:ind w:left="0" w:leftChars="0" w:right="0" w:rightChars="0" w:firstLine="720" w:firstLineChars="200"/>
        <w:jc w:val="both"/>
        <w:textAlignment w:val="auto"/>
        <w:rPr>
          <w:rFonts w:hint="eastAsia" w:ascii="仿宋_GB2312" w:hAnsi="仿宋_GB2312" w:eastAsia="仿宋_GB2312" w:cs="仿宋_GB2312"/>
          <w:kern w:val="2"/>
          <w:sz w:val="36"/>
          <w:szCs w:val="36"/>
          <w:lang w:val="en-US" w:eastAsia="zh-CN" w:bidi="ar"/>
        </w:rPr>
      </w:pPr>
      <w:r>
        <w:rPr>
          <w:rFonts w:hint="eastAsia" w:ascii="仿宋_GB2312" w:hAnsi="仿宋_GB2312" w:eastAsia="仿宋_GB2312" w:cs="仿宋_GB2312"/>
          <w:kern w:val="2"/>
          <w:sz w:val="36"/>
          <w:szCs w:val="36"/>
          <w:lang w:val="en-US" w:eastAsia="zh-CN" w:bidi="ar"/>
        </w:rPr>
        <w:t>对此，我们将坚持问题导向、目标导向，直面问题、攻坚克难，努力在今后的工作中加以改进和解决。</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52" w:lineRule="exact"/>
        <w:ind w:left="0" w:leftChars="0" w:right="0" w:rightChars="0" w:firstLine="720" w:firstLineChars="200"/>
        <w:jc w:val="both"/>
        <w:textAlignment w:val="auto"/>
        <w:rPr>
          <w:rFonts w:hint="eastAsia" w:ascii="黑体" w:hAnsi="黑体" w:eastAsia="黑体" w:cs="黑体"/>
          <w:kern w:val="2"/>
          <w:sz w:val="36"/>
          <w:szCs w:val="36"/>
          <w:lang w:val="en-US" w:eastAsia="zh-CN" w:bidi="ar"/>
        </w:rPr>
      </w:pPr>
      <w:r>
        <w:rPr>
          <w:rFonts w:hint="eastAsia" w:ascii="黑体" w:hAnsi="黑体" w:eastAsia="黑体" w:cs="黑体"/>
          <w:kern w:val="2"/>
          <w:sz w:val="36"/>
          <w:szCs w:val="36"/>
          <w:lang w:val="en-US" w:eastAsia="zh-CN" w:bidi="ar"/>
        </w:rPr>
        <w:t>二、2024年重点工作</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52" w:lineRule="exact"/>
        <w:ind w:left="0" w:leftChars="0" w:right="0" w:firstLine="720" w:firstLineChars="200"/>
        <w:jc w:val="both"/>
        <w:textAlignment w:val="auto"/>
        <w:rPr>
          <w:rFonts w:hint="eastAsia" w:ascii="仿宋_GB2312" w:hAnsi="仿宋_GB2312" w:eastAsia="仿宋_GB2312" w:cs="仿宋_GB2312"/>
          <w:color w:val="000000" w:themeColor="text1"/>
          <w:kern w:val="2"/>
          <w:sz w:val="36"/>
          <w:szCs w:val="36"/>
          <w14:textFill>
            <w14:solidFill>
              <w14:schemeClr w14:val="tx1"/>
            </w14:solidFill>
          </w14:textFill>
        </w:rPr>
      </w:pPr>
      <w:r>
        <w:rPr>
          <w:rFonts w:hint="eastAsia" w:ascii="仿宋_GB2312" w:hAnsi="仿宋_GB2312" w:eastAsia="仿宋_GB2312" w:cs="仿宋_GB2312"/>
          <w:kern w:val="2"/>
          <w:sz w:val="36"/>
          <w:szCs w:val="36"/>
          <w:lang w:val="en-US" w:eastAsia="zh-CN" w:bidi="ar"/>
        </w:rPr>
        <w:t>2024年，是中华人民共和国成立75周年，是实施“十四五”规划的关键一年。</w:t>
      </w:r>
      <w:r>
        <w:rPr>
          <w:rFonts w:hint="eastAsia" w:ascii="仿宋_GB2312" w:hAnsi="仿宋_GB2312" w:eastAsia="仿宋_GB2312" w:cs="仿宋_GB2312"/>
          <w:b/>
          <w:bCs/>
          <w:kern w:val="2"/>
          <w:sz w:val="36"/>
          <w:szCs w:val="36"/>
          <w:lang w:val="en-US" w:eastAsia="zh-CN" w:bidi="ar"/>
        </w:rPr>
        <w:t>2024年工作的总体要求是，</w:t>
      </w:r>
      <w:r>
        <w:rPr>
          <w:rFonts w:hint="eastAsia" w:ascii="仿宋_GB2312" w:hAnsi="仿宋_GB2312" w:eastAsia="仿宋_GB2312" w:cs="仿宋_GB2312"/>
          <w:b w:val="0"/>
          <w:bCs w:val="0"/>
          <w:kern w:val="2"/>
          <w:sz w:val="36"/>
          <w:szCs w:val="36"/>
          <w:lang w:val="en-US" w:eastAsia="zh-CN" w:bidi="ar"/>
        </w:rPr>
        <w:t>坚持以习近平新时代中国特色社会主义思想为指导，深入贯彻习近平总书记关于西藏工作的重要指示和新时代党的治藏方略，全面贯</w:t>
      </w:r>
      <w:r>
        <w:rPr>
          <w:rFonts w:hint="eastAsia" w:ascii="仿宋_GB2312" w:hAnsi="仿宋_GB2312" w:eastAsia="仿宋_GB2312" w:cs="仿宋_GB2312"/>
          <w:b w:val="0"/>
          <w:bCs w:val="0"/>
          <w:color w:val="000000" w:themeColor="text1"/>
          <w:kern w:val="2"/>
          <w:sz w:val="36"/>
          <w:szCs w:val="36"/>
          <w:lang w:val="en-US" w:eastAsia="zh-CN" w:bidi="ar"/>
          <w14:textFill>
            <w14:solidFill>
              <w14:schemeClr w14:val="tx1"/>
            </w14:solidFill>
          </w14:textFill>
        </w:rPr>
        <w:t>彻中央、区党委、市委和县委经济工作会议精神。</w:t>
      </w:r>
      <w:r>
        <w:rPr>
          <w:rFonts w:hint="eastAsia" w:ascii="仿宋_GB2312" w:hAnsi="仿宋_GB2312" w:eastAsia="仿宋_GB2312" w:cs="仿宋_GB2312"/>
          <w:b w:val="0"/>
          <w:bCs w:val="0"/>
          <w:kern w:val="2"/>
          <w:sz w:val="36"/>
          <w:szCs w:val="36"/>
          <w:lang w:val="en-US" w:eastAsia="zh-CN" w:bidi="ar"/>
        </w:rPr>
        <w:t>聚焦“四件大事”，聚力“四个创建”，立足昌都建设副中心城市发展定位，</w:t>
      </w:r>
      <w:r>
        <w:rPr>
          <w:rFonts w:hint="eastAsia" w:ascii="仿宋_GB2312" w:hAnsi="仿宋_GB2312" w:eastAsia="仿宋_GB2312" w:cs="仿宋_GB2312"/>
          <w:b w:val="0"/>
          <w:bCs w:val="0"/>
          <w:color w:val="000000" w:themeColor="text1"/>
          <w:kern w:val="2"/>
          <w:sz w:val="36"/>
          <w:szCs w:val="36"/>
          <w:lang w:val="en-US" w:eastAsia="zh-CN" w:bidi="ar"/>
          <w14:textFill>
            <w14:solidFill>
              <w14:schemeClr w14:val="tx1"/>
            </w14:solidFill>
          </w14:textFill>
        </w:rPr>
        <w:t>围绕2024年市委“22445”总体工作思路，锚定打造“农业大县”、</w:t>
      </w:r>
      <w:r>
        <w:rPr>
          <w:rFonts w:hint="eastAsia" w:ascii="仿宋_GB2312" w:hAnsi="仿宋_GB2312" w:eastAsia="仿宋_GB2312"/>
          <w:color w:val="000000" w:themeColor="text1"/>
          <w:sz w:val="36"/>
          <w:szCs w:val="36"/>
          <w:lang w:val="en-US" w:eastAsia="zh-CN" w:bidi="ar"/>
          <w14:textFill>
            <w14:solidFill>
              <w14:schemeClr w14:val="tx1"/>
            </w14:solidFill>
          </w14:textFill>
        </w:rPr>
        <w:t>川藏铁路建设经济带、茶马公路文化旅游经济带</w:t>
      </w:r>
      <w:r>
        <w:rPr>
          <w:rFonts w:hint="eastAsia" w:ascii="仿宋_GB2312" w:hAnsi="仿宋_GB2312" w:eastAsia="仿宋_GB2312" w:cs="仿宋_GB2312"/>
          <w:b w:val="0"/>
          <w:bCs w:val="0"/>
          <w:color w:val="000000" w:themeColor="text1"/>
          <w:kern w:val="2"/>
          <w:sz w:val="36"/>
          <w:szCs w:val="36"/>
          <w:lang w:val="en-US" w:eastAsia="zh-CN" w:bidi="ar"/>
          <w14:textFill>
            <w14:solidFill>
              <w14:schemeClr w14:val="tx1"/>
            </w14:solidFill>
          </w14:textFill>
        </w:rPr>
        <w:t>和建设“大县城”“中心县城”发展目标，坚持稳中求进、以进促稳、先立后破工作总基调，完整、准确、全面贯彻新发展理念</w:t>
      </w:r>
      <w:r>
        <w:rPr>
          <w:rFonts w:hint="eastAsia" w:ascii="仿宋_GB2312" w:hAnsi="仿宋_GB2312" w:eastAsia="仿宋_GB2312" w:cs="仿宋_GB2312"/>
          <w:color w:val="000000" w:themeColor="text1"/>
          <w:kern w:val="2"/>
          <w:sz w:val="36"/>
          <w:szCs w:val="36"/>
          <w:lang w:val="en-US" w:eastAsia="zh-CN" w:bidi="ar"/>
          <w14:textFill>
            <w14:solidFill>
              <w14:schemeClr w14:val="tx1"/>
            </w14:solidFill>
          </w14:textFill>
        </w:rPr>
        <w:t>，全力推动区党委政府、市委市政府和县委的各项决策部署落地见效。</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52" w:lineRule="exact"/>
        <w:ind w:left="0" w:leftChars="0" w:right="0" w:firstLine="723" w:firstLineChars="200"/>
        <w:jc w:val="both"/>
        <w:textAlignment w:val="auto"/>
        <w:rPr>
          <w:rFonts w:hint="eastAsia" w:ascii="仿宋_GB2312" w:hAnsi="仿宋_GB2312" w:eastAsia="仿宋_GB2312" w:cs="仿宋_GB2312"/>
          <w:color w:val="000000" w:themeColor="text1"/>
          <w:kern w:val="2"/>
          <w:sz w:val="36"/>
          <w:szCs w:val="36"/>
          <w:lang w:val="en-US" w:eastAsia="zh-CN" w:bidi="ar"/>
          <w14:textFill>
            <w14:solidFill>
              <w14:schemeClr w14:val="tx1"/>
            </w14:solidFill>
          </w14:textFill>
        </w:rPr>
      </w:pPr>
      <w:r>
        <w:rPr>
          <w:rFonts w:hint="eastAsia" w:ascii="仿宋_GB2312" w:hAnsi="仿宋_GB2312" w:eastAsia="仿宋_GB2312" w:cs="仿宋_GB2312"/>
          <w:b/>
          <w:bCs/>
          <w:color w:val="000000" w:themeColor="text1"/>
          <w:kern w:val="2"/>
          <w:sz w:val="36"/>
          <w:szCs w:val="36"/>
          <w:lang w:val="en-US" w:eastAsia="zh-CN" w:bidi="ar"/>
          <w14:textFill>
            <w14:solidFill>
              <w14:schemeClr w14:val="tx1"/>
            </w14:solidFill>
          </w14:textFill>
        </w:rPr>
        <w:t>2024年工作的主要预期目标是</w:t>
      </w:r>
      <w:r>
        <w:rPr>
          <w:rFonts w:hint="eastAsia" w:ascii="仿宋_GB2312" w:hAnsi="仿宋_GB2312" w:eastAsia="仿宋_GB2312" w:cs="仿宋_GB2312"/>
          <w:color w:val="000000" w:themeColor="text1"/>
          <w:kern w:val="2"/>
          <w:sz w:val="36"/>
          <w:szCs w:val="36"/>
          <w:lang w:val="en-US" w:eastAsia="zh-CN" w:bidi="ar"/>
          <w14:textFill>
            <w14:solidFill>
              <w14:schemeClr w14:val="tx1"/>
            </w14:solidFill>
          </w14:textFill>
        </w:rPr>
        <w:t>：地区生产总值增长8%，全社会固定资产投资增长11%，社会消费品零售总额增长10%，地方一般公共预算增长3%，城乡居民人均可支配收入分别增长8%、11%，居民消费价格涨幅控制在3%以内，城镇调查失业率控制在5%以内。</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52" w:lineRule="exact"/>
        <w:ind w:left="0" w:leftChars="0" w:right="0" w:firstLine="720" w:firstLineChars="200"/>
        <w:jc w:val="both"/>
        <w:textAlignment w:val="auto"/>
        <w:rPr>
          <w:rFonts w:hint="eastAsia" w:ascii="仿宋_GB2312" w:hAnsi="仿宋_GB2312" w:eastAsia="仿宋_GB2312" w:cs="仿宋_GB2312"/>
          <w:kern w:val="2"/>
          <w:sz w:val="36"/>
          <w:szCs w:val="36"/>
          <w:lang w:val="en-US" w:eastAsia="zh-CN" w:bidi="ar"/>
        </w:rPr>
      </w:pPr>
      <w:r>
        <w:rPr>
          <w:rFonts w:hint="eastAsia" w:ascii="仿宋_GB2312" w:hAnsi="仿宋_GB2312" w:eastAsia="仿宋_GB2312" w:cs="仿宋_GB2312"/>
          <w:kern w:val="2"/>
          <w:sz w:val="36"/>
          <w:szCs w:val="36"/>
          <w:lang w:val="en-US" w:eastAsia="zh-CN" w:bidi="ar"/>
        </w:rPr>
        <w:t>实现以上目标，我们务必持之以恒、务实笃行，重点在九个方面持续发力。</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52" w:lineRule="exact"/>
        <w:ind w:left="0" w:leftChars="0" w:right="0" w:rightChars="0" w:firstLine="723" w:firstLineChars="200"/>
        <w:jc w:val="both"/>
        <w:textAlignment w:val="auto"/>
        <w:rPr>
          <w:rFonts w:hint="eastAsia" w:ascii="楷体_GB2312" w:hAnsi="楷体_GB2312" w:eastAsia="楷体_GB2312" w:cs="楷体_GB2312"/>
          <w:b/>
          <w:bCs/>
          <w:kern w:val="2"/>
          <w:sz w:val="36"/>
          <w:szCs w:val="36"/>
          <w:lang w:val="en-US" w:eastAsia="zh-CN" w:bidi="ar"/>
        </w:rPr>
      </w:pPr>
      <w:r>
        <w:rPr>
          <w:rFonts w:hint="eastAsia" w:ascii="楷体_GB2312" w:hAnsi="楷体_GB2312" w:eastAsia="楷体_GB2312" w:cs="楷体_GB2312"/>
          <w:b/>
          <w:bCs/>
          <w:kern w:val="2"/>
          <w:sz w:val="36"/>
          <w:szCs w:val="36"/>
          <w:lang w:val="en-US" w:eastAsia="zh-CN" w:bidi="ar"/>
        </w:rPr>
        <w:t>（一）在推动经济发展上争先进位</w:t>
      </w:r>
    </w:p>
    <w:p>
      <w:pPr>
        <w:keepNext w:val="0"/>
        <w:keepLines w:val="0"/>
        <w:pageBreakBefore w:val="0"/>
        <w:widowControl w:val="0"/>
        <w:kinsoku/>
        <w:wordWrap/>
        <w:overflowPunct/>
        <w:topLinePunct w:val="0"/>
        <w:autoSpaceDE/>
        <w:autoSpaceDN/>
        <w:bidi w:val="0"/>
        <w:adjustRightInd w:val="0"/>
        <w:snapToGrid w:val="0"/>
        <w:spacing w:line="552" w:lineRule="exact"/>
        <w:ind w:left="0" w:leftChars="0" w:firstLine="723" w:firstLineChars="200"/>
        <w:textAlignment w:val="auto"/>
        <w:rPr>
          <w:rFonts w:hint="eastAsia" w:ascii="仿宋_GB2312" w:hAnsi="仿宋_GB2312" w:eastAsia="仿宋_GB2312" w:cs="仿宋_GB2312"/>
          <w:kern w:val="2"/>
          <w:sz w:val="36"/>
          <w:szCs w:val="36"/>
          <w:lang w:val="en-US" w:eastAsia="zh-CN" w:bidi="ar"/>
        </w:rPr>
      </w:pPr>
      <w:r>
        <w:rPr>
          <w:rFonts w:hint="eastAsia" w:ascii="仿宋_GB2312" w:hAnsi="仿宋_GB2312" w:eastAsia="仿宋_GB2312" w:cs="仿宋_GB2312"/>
          <w:b/>
          <w:bCs/>
          <w:kern w:val="2"/>
          <w:sz w:val="36"/>
          <w:szCs w:val="36"/>
          <w:lang w:val="en-US" w:eastAsia="zh-CN" w:bidi="ar"/>
        </w:rPr>
        <w:t>一是项目建设再提速。</w:t>
      </w:r>
      <w:r>
        <w:rPr>
          <w:rFonts w:hint="eastAsia" w:ascii="仿宋_GB2312" w:hAnsi="仿宋_GB2312" w:eastAsia="仿宋_GB2312" w:cs="仿宋_GB2312"/>
          <w:kern w:val="2"/>
          <w:sz w:val="36"/>
          <w:szCs w:val="36"/>
          <w:lang w:val="en-US" w:eastAsia="zh-CN" w:bidi="ar"/>
        </w:rPr>
        <w:t>科学谋划“十五五”项目工作基本思路，重点围绕交通、水利、能源、产业升级、乡村振兴、基层公共卫生体系等领域，加强与上级有关部门汇报衔接，储备一批强基础利长远的好项目大项目，做大做强建设总盘子。实施项目前期联动联审联批和容缺审批机制，做好2024年142个计划项目的前期工作，确保项目早落地、早实施。</w:t>
      </w:r>
      <w:r>
        <w:rPr>
          <w:rFonts w:hint="eastAsia" w:ascii="仿宋_GB2312" w:hAnsi="仿宋_GB2312" w:eastAsia="仿宋_GB2312" w:cs="仿宋_GB2312"/>
          <w:kern w:val="2"/>
          <w:sz w:val="36"/>
          <w:szCs w:val="36"/>
          <w:u w:val="none"/>
          <w:lang w:val="en-US" w:eastAsia="zh-CN" w:bidi="ar"/>
        </w:rPr>
        <w:t>抢抓项目进度，</w:t>
      </w:r>
      <w:r>
        <w:rPr>
          <w:rFonts w:hint="eastAsia" w:ascii="仿宋_GB2312" w:hAnsi="仿宋_GB2312" w:eastAsia="仿宋_GB2312" w:cs="仿宋_GB2312"/>
          <w:kern w:val="2"/>
          <w:sz w:val="36"/>
          <w:szCs w:val="36"/>
          <w:lang w:val="en-US" w:eastAsia="zh-CN" w:bidi="ar"/>
        </w:rPr>
        <w:t>加快推进川藏铁路、</w:t>
      </w:r>
      <w:r>
        <w:rPr>
          <w:rFonts w:hint="eastAsia" w:ascii="仿宋_GB2312" w:hAnsi="仿宋_GB2312" w:eastAsia="仿宋_GB2312" w:cs="仿宋_GB2312"/>
          <w:color w:val="000000" w:themeColor="text1"/>
          <w:kern w:val="2"/>
          <w:sz w:val="36"/>
          <w:szCs w:val="36"/>
          <w:lang w:val="en-US" w:eastAsia="zh-CN" w:bidi="ar"/>
          <w14:textFill>
            <w14:solidFill>
              <w14:schemeClr w14:val="tx1"/>
            </w14:solidFill>
          </w14:textFill>
        </w:rPr>
        <w:t>乡村振兴、文旅发展</w:t>
      </w:r>
      <w:r>
        <w:rPr>
          <w:rFonts w:hint="eastAsia" w:ascii="仿宋_GB2312" w:hAnsi="仿宋_GB2312" w:eastAsia="仿宋_GB2312" w:cs="仿宋_GB2312"/>
          <w:kern w:val="2"/>
          <w:sz w:val="36"/>
          <w:szCs w:val="36"/>
          <w:lang w:val="en-US" w:eastAsia="zh-CN" w:bidi="ar"/>
        </w:rPr>
        <w:t>等重大项目建设。</w:t>
      </w:r>
      <w:r>
        <w:rPr>
          <w:rFonts w:hint="eastAsia" w:ascii="仿宋_GB2312" w:hAnsi="仿宋_GB2312" w:eastAsia="仿宋_GB2312" w:cs="仿宋_GB2312"/>
          <w:b w:val="0"/>
          <w:bCs w:val="0"/>
          <w:kern w:val="2"/>
          <w:sz w:val="36"/>
          <w:szCs w:val="36"/>
          <w:u w:val="none"/>
          <w:lang w:val="en-US" w:eastAsia="zh-CN" w:bidi="ar"/>
        </w:rPr>
        <w:t>加强跑办衔接，</w:t>
      </w:r>
      <w:r>
        <w:rPr>
          <w:rFonts w:hint="eastAsia" w:ascii="仿宋_GB2312" w:hAnsi="仿宋_GB2312" w:eastAsia="仿宋_GB2312" w:cs="仿宋_GB2312"/>
          <w:kern w:val="2"/>
          <w:sz w:val="36"/>
          <w:szCs w:val="36"/>
          <w:lang w:val="en-US" w:eastAsia="zh-CN" w:bidi="ar"/>
        </w:rPr>
        <w:t>积极争取洛波公路、旺西水库、念曲水库、硕督特色文旅名镇项目资金。</w:t>
      </w:r>
      <w:r>
        <w:rPr>
          <w:rFonts w:hint="eastAsia" w:ascii="仿宋_GB2312" w:hAnsi="仿宋_GB2312" w:eastAsia="仿宋_GB2312" w:cs="仿宋_GB2312"/>
          <w:kern w:val="2"/>
          <w:sz w:val="36"/>
          <w:szCs w:val="36"/>
          <w:u w:val="none"/>
          <w:lang w:val="en-US" w:eastAsia="zh-CN" w:bidi="ar"/>
        </w:rPr>
        <w:t>狠抓项目保障，</w:t>
      </w:r>
      <w:r>
        <w:rPr>
          <w:rFonts w:hint="eastAsia" w:ascii="仿宋_GB2312" w:hAnsi="仿宋_GB2312" w:eastAsia="仿宋_GB2312" w:cs="仿宋_GB2312"/>
          <w:kern w:val="2"/>
          <w:sz w:val="36"/>
          <w:szCs w:val="36"/>
          <w:lang w:val="en-US" w:eastAsia="zh-CN" w:bidi="ar"/>
        </w:rPr>
        <w:t>实行重大项目领导包保、重点工作专班推进和清单化调度制度，实行重点项目“联审联批”“绿色通道”“土地要素保障”等项目推进机制。规范项目投资入库纳统和“应统尽统”工作。</w:t>
      </w:r>
    </w:p>
    <w:p>
      <w:pPr>
        <w:keepNext w:val="0"/>
        <w:keepLines w:val="0"/>
        <w:pageBreakBefore w:val="0"/>
        <w:widowControl w:val="0"/>
        <w:kinsoku/>
        <w:wordWrap/>
        <w:overflowPunct/>
        <w:topLinePunct w:val="0"/>
        <w:autoSpaceDE/>
        <w:autoSpaceDN/>
        <w:bidi w:val="0"/>
        <w:adjustRightInd w:val="0"/>
        <w:snapToGrid w:val="0"/>
        <w:spacing w:line="552" w:lineRule="exact"/>
        <w:ind w:left="0" w:leftChars="0" w:firstLine="723" w:firstLineChars="200"/>
        <w:textAlignment w:val="auto"/>
        <w:rPr>
          <w:rFonts w:hint="eastAsia"/>
          <w:sz w:val="36"/>
          <w:szCs w:val="36"/>
          <w:lang w:val="en-US" w:eastAsia="zh-CN"/>
        </w:rPr>
      </w:pPr>
      <w:r>
        <w:rPr>
          <w:rFonts w:hint="eastAsia" w:ascii="仿宋_GB2312" w:hAnsi="仿宋_GB2312" w:eastAsia="仿宋_GB2312" w:cs="仿宋_GB2312"/>
          <w:b/>
          <w:bCs/>
          <w:kern w:val="2"/>
          <w:sz w:val="36"/>
          <w:szCs w:val="36"/>
          <w:lang w:val="en-US" w:eastAsia="zh-CN" w:bidi="ar"/>
        </w:rPr>
        <w:t>二是招商引资再强化。</w:t>
      </w:r>
      <w:r>
        <w:rPr>
          <w:rFonts w:hint="eastAsia" w:ascii="仿宋_GB2312" w:hAnsi="仿宋_GB2312" w:eastAsia="仿宋_GB2312"/>
          <w:sz w:val="36"/>
          <w:szCs w:val="36"/>
          <w:lang w:val="en-US" w:eastAsia="zh-CN" w:bidi="ar"/>
        </w:rPr>
        <w:t>2024年是市委确定的“环境整治年”，目的就是要持续优化政务环境、投资环境、法治环境，依托川藏铁路建设、茶马公路文化旅游经济带、夏贡拉隧道通车等机遇，全力抓招商、全民抓招商，全年计划完成招商引资2亿元以上。</w:t>
      </w:r>
      <w:r>
        <w:rPr>
          <w:rFonts w:hint="eastAsia" w:ascii="仿宋_GB2312" w:hAnsi="仿宋_GB2312" w:eastAsia="仿宋_GB2312"/>
          <w:b/>
          <w:bCs/>
          <w:sz w:val="36"/>
          <w:szCs w:val="36"/>
          <w:lang w:val="en-US" w:eastAsia="zh-CN" w:bidi="ar"/>
        </w:rPr>
        <w:t>一是</w:t>
      </w:r>
      <w:r>
        <w:rPr>
          <w:rFonts w:hint="eastAsia" w:ascii="仿宋_GB2312" w:hAnsi="仿宋_GB2312" w:eastAsia="仿宋_GB2312"/>
          <w:sz w:val="36"/>
          <w:szCs w:val="36"/>
          <w:lang w:val="en-US" w:eastAsia="zh-CN" w:bidi="ar"/>
        </w:rPr>
        <w:t>持续深化“放管服”改革，不断深化“互联网＋政务服务”，立体推进政务服务“一体化”；落实好减税降费、留抵退税等惠企纾困政策；强化公平竞争审查刚性约束，完善公平竞争审查制度，破除市场壁垒，保护市场公平竞争。</w:t>
      </w:r>
      <w:r>
        <w:rPr>
          <w:rFonts w:hint="eastAsia" w:ascii="仿宋_GB2312" w:hAnsi="仿宋_GB2312" w:eastAsia="仿宋_GB2312"/>
          <w:b/>
          <w:bCs/>
          <w:sz w:val="36"/>
          <w:szCs w:val="36"/>
          <w:lang w:val="en-US" w:eastAsia="zh-CN" w:bidi="ar"/>
        </w:rPr>
        <w:t>二是</w:t>
      </w:r>
      <w:r>
        <w:rPr>
          <w:rFonts w:hint="eastAsia" w:ascii="仿宋_GB2312" w:hAnsi="仿宋_GB2312" w:eastAsia="仿宋_GB2312"/>
          <w:sz w:val="36"/>
          <w:szCs w:val="36"/>
          <w:lang w:val="en-US" w:eastAsia="zh-CN" w:bidi="ar"/>
        </w:rPr>
        <w:t>聚力园区、文旅、能源、农业等招商，重点围绕农文旅融合、产业发展、清洁能源基地建设等，制定招商引资项目清单、任务清单、责任清单，对已签约项目和意向性项目要“一对一”服务，定人定责，力争项目尽快签约、尽早落地。</w:t>
      </w:r>
      <w:r>
        <w:rPr>
          <w:rFonts w:hint="eastAsia" w:ascii="仿宋_GB2312" w:hAnsi="仿宋_GB2312" w:eastAsia="仿宋_GB2312"/>
          <w:b/>
          <w:bCs/>
          <w:sz w:val="36"/>
          <w:szCs w:val="36"/>
          <w:lang w:val="en-US" w:eastAsia="zh-CN" w:bidi="ar"/>
        </w:rPr>
        <w:t>三是</w:t>
      </w:r>
      <w:r>
        <w:rPr>
          <w:rFonts w:hint="eastAsia" w:ascii="仿宋_GB2312" w:hAnsi="仿宋_GB2312" w:eastAsia="仿宋_GB2312"/>
          <w:sz w:val="36"/>
          <w:szCs w:val="36"/>
          <w:lang w:val="en-US" w:eastAsia="zh-CN" w:bidi="ar"/>
        </w:rPr>
        <w:t>积极参加区、市组织举办的各类招商引资推介活动，主动了解客商需求，寻找双方的利益共同点。借助福建、中国远洋海运集团的援助优势，有针对性开展宣传推介，邀请企业家赴洛考察调研投资。</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52" w:lineRule="exact"/>
        <w:ind w:left="0" w:leftChars="0" w:right="0" w:rightChars="0" w:firstLine="723" w:firstLineChars="200"/>
        <w:jc w:val="both"/>
        <w:textAlignment w:val="auto"/>
        <w:rPr>
          <w:rFonts w:hint="eastAsia" w:ascii="仿宋_GB2312" w:hAnsi="仿宋_GB2312" w:eastAsia="仿宋_GB2312" w:cs="仿宋_GB2312"/>
          <w:b w:val="0"/>
          <w:bCs w:val="0"/>
          <w:color w:val="000000"/>
          <w:kern w:val="2"/>
          <w:sz w:val="36"/>
          <w:szCs w:val="36"/>
          <w:lang w:val="en-US" w:eastAsia="zh-CN" w:bidi="ar-SA"/>
        </w:rPr>
      </w:pPr>
      <w:r>
        <w:rPr>
          <w:rFonts w:hint="eastAsia" w:ascii="仿宋_GB2312" w:hAnsi="仿宋_GB2312" w:eastAsia="仿宋_GB2312" w:cs="仿宋_GB2312"/>
          <w:b/>
          <w:bCs/>
          <w:kern w:val="2"/>
          <w:sz w:val="36"/>
          <w:szCs w:val="36"/>
          <w:lang w:val="en-US" w:eastAsia="zh-CN" w:bidi="ar"/>
        </w:rPr>
        <w:t>三是消费提振再发力。</w:t>
      </w:r>
      <w:r>
        <w:rPr>
          <w:rFonts w:hint="eastAsia" w:ascii="仿宋_GB2312" w:hAnsi="仿宋_GB2312" w:eastAsia="仿宋_GB2312" w:cs="仿宋_GB2312"/>
          <w:b w:val="0"/>
          <w:bCs w:val="0"/>
          <w:kern w:val="2"/>
          <w:sz w:val="36"/>
          <w:szCs w:val="36"/>
          <w:lang w:val="en-US" w:eastAsia="zh-CN" w:bidi="ar"/>
        </w:rPr>
        <w:t>办好洛隆县第十届俄西杏花旅游文化节等节庆活动，积极参与区内外展销会、推介会等，围绕“吃住行游购娱”需求，继续实施扩大消费专项行动，刺激群众大宗商品消费，深挖夜间消费、假日消费、旅游消费等潜力，办好夜市经济。</w:t>
      </w:r>
    </w:p>
    <w:p>
      <w:pPr>
        <w:keepNext w:val="0"/>
        <w:keepLines w:val="0"/>
        <w:pageBreakBefore w:val="0"/>
        <w:widowControl w:val="0"/>
        <w:kinsoku/>
        <w:wordWrap/>
        <w:overflowPunct/>
        <w:topLinePunct w:val="0"/>
        <w:autoSpaceDE/>
        <w:autoSpaceDN/>
        <w:bidi w:val="0"/>
        <w:adjustRightInd w:val="0"/>
        <w:snapToGrid w:val="0"/>
        <w:spacing w:line="552" w:lineRule="exact"/>
        <w:ind w:left="0" w:leftChars="0" w:firstLine="723" w:firstLineChars="200"/>
        <w:textAlignment w:val="auto"/>
        <w:rPr>
          <w:rFonts w:hint="eastAsia" w:ascii="楷体_GB2312" w:hAnsi="楷体_GB2312" w:eastAsia="楷体_GB2312" w:cs="楷体_GB2312"/>
          <w:b/>
          <w:bCs/>
          <w:kern w:val="2"/>
          <w:sz w:val="36"/>
          <w:szCs w:val="36"/>
          <w:lang w:val="en-US" w:eastAsia="zh-CN" w:bidi="ar"/>
        </w:rPr>
      </w:pPr>
      <w:r>
        <w:rPr>
          <w:rFonts w:hint="eastAsia" w:ascii="楷体_GB2312" w:hAnsi="楷体_GB2312" w:eastAsia="楷体_GB2312" w:cs="楷体_GB2312"/>
          <w:b/>
          <w:bCs/>
          <w:kern w:val="2"/>
          <w:sz w:val="36"/>
          <w:szCs w:val="36"/>
          <w:lang w:val="en-US" w:eastAsia="zh-CN" w:bidi="ar"/>
        </w:rPr>
        <w:t>（二）在“三农”经济高质量发展上争先进位</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52" w:lineRule="exact"/>
        <w:ind w:left="0" w:leftChars="0" w:right="0" w:rightChars="0" w:firstLine="720" w:firstLineChars="200"/>
        <w:jc w:val="both"/>
        <w:textAlignment w:val="auto"/>
        <w:rPr>
          <w:rFonts w:hint="eastAsia" w:ascii="仿宋_GB2312" w:hAnsi="仿宋_GB2312" w:eastAsia="仿宋_GB2312" w:cs="仿宋_GB2312"/>
          <w:b w:val="0"/>
          <w:bCs w:val="0"/>
          <w:kern w:val="2"/>
          <w:sz w:val="36"/>
          <w:szCs w:val="36"/>
          <w:lang w:val="en-US" w:eastAsia="zh-CN" w:bidi="ar"/>
        </w:rPr>
      </w:pPr>
      <w:r>
        <w:rPr>
          <w:rFonts w:hint="eastAsia" w:ascii="仿宋_GB2312" w:hAnsi="仿宋_GB2312" w:eastAsia="仿宋_GB2312" w:cs="仿宋_GB2312"/>
          <w:b w:val="0"/>
          <w:bCs w:val="0"/>
          <w:kern w:val="2"/>
          <w:sz w:val="36"/>
          <w:szCs w:val="36"/>
          <w:lang w:val="en-US" w:eastAsia="zh-CN" w:bidi="ar"/>
        </w:rPr>
        <w:t>落实“产业提质增效”，不断夯实农业农村基层基础，全面推进乡村振兴。</w:t>
      </w:r>
      <w:r>
        <w:rPr>
          <w:rFonts w:hint="eastAsia" w:ascii="仿宋_GB2312" w:hAnsi="仿宋_GB2312" w:eastAsia="仿宋_GB2312" w:cs="仿宋_GB2312"/>
          <w:b/>
          <w:bCs/>
          <w:kern w:val="2"/>
          <w:sz w:val="36"/>
          <w:szCs w:val="36"/>
          <w:lang w:val="en-US" w:eastAsia="zh-CN" w:bidi="ar"/>
        </w:rPr>
        <w:t>一是</w:t>
      </w:r>
      <w:r>
        <w:rPr>
          <w:rFonts w:hint="eastAsia" w:ascii="仿宋_GB2312" w:hAnsi="仿宋_GB2312" w:eastAsia="仿宋_GB2312" w:cs="仿宋_GB2312"/>
          <w:b w:val="0"/>
          <w:bCs w:val="0"/>
          <w:kern w:val="2"/>
          <w:sz w:val="36"/>
          <w:szCs w:val="36"/>
          <w:lang w:val="en-US" w:eastAsia="zh-CN" w:bidi="ar"/>
        </w:rPr>
        <w:t>严格落实返贫动态监测机制。坚决防止发生规模性返贫；</w:t>
      </w:r>
      <w:r>
        <w:rPr>
          <w:rFonts w:hint="eastAsia" w:ascii="仿宋_GB2312" w:hAnsi="仿宋_GB2312" w:eastAsia="仿宋_GB2312" w:cs="仿宋_GB2312"/>
          <w:b/>
          <w:bCs/>
          <w:kern w:val="2"/>
          <w:sz w:val="36"/>
          <w:szCs w:val="36"/>
          <w:lang w:val="en-US" w:eastAsia="zh-CN" w:bidi="ar"/>
        </w:rPr>
        <w:t>二是</w:t>
      </w:r>
      <w:r>
        <w:rPr>
          <w:rFonts w:hint="eastAsia" w:ascii="仿宋_GB2312" w:hAnsi="仿宋_GB2312" w:eastAsia="仿宋_GB2312" w:cs="仿宋_GB2312"/>
          <w:b w:val="0"/>
          <w:bCs w:val="0"/>
          <w:kern w:val="2"/>
          <w:sz w:val="36"/>
          <w:szCs w:val="36"/>
          <w:lang w:val="en-US" w:eastAsia="zh-CN" w:bidi="ar"/>
        </w:rPr>
        <w:t>做好耕地保护、粮食安全工作，大力推进高标准农田建设，持续加大藏青2000、藏青3000等青稞良种推广，耕地保有量保持在15.8万亩以上，粮食播种面积稳定在7.8万亩以上，粮食产量保持在5400万斤以上；</w:t>
      </w:r>
      <w:r>
        <w:rPr>
          <w:rFonts w:hint="eastAsia" w:ascii="仿宋_GB2312" w:hAnsi="仿宋_GB2312" w:eastAsia="仿宋_GB2312" w:cs="仿宋_GB2312"/>
          <w:b/>
          <w:bCs/>
          <w:kern w:val="2"/>
          <w:sz w:val="36"/>
          <w:szCs w:val="36"/>
          <w:lang w:val="en-US" w:eastAsia="zh-CN" w:bidi="ar"/>
        </w:rPr>
        <w:t>三是</w:t>
      </w:r>
      <w:r>
        <w:rPr>
          <w:rFonts w:hint="eastAsia" w:ascii="仿宋_GB2312" w:hAnsi="仿宋_GB2312" w:eastAsia="仿宋_GB2312" w:cs="仿宋_GB2312"/>
          <w:b w:val="0"/>
          <w:bCs w:val="0"/>
          <w:kern w:val="2"/>
          <w:sz w:val="36"/>
          <w:szCs w:val="36"/>
          <w:lang w:val="en-US" w:eastAsia="zh-CN" w:bidi="ar"/>
        </w:rPr>
        <w:t>推动产业高质量发展。</w:t>
      </w:r>
      <w:r>
        <w:rPr>
          <w:rFonts w:hint="eastAsia" w:ascii="仿宋_GB2312" w:hAnsi="仿宋_GB2312" w:eastAsia="仿宋_GB2312" w:cs="仿宋_GB2312"/>
          <w:b w:val="0"/>
          <w:bCs w:val="0"/>
          <w:color w:val="000000" w:themeColor="text1"/>
          <w:kern w:val="2"/>
          <w:sz w:val="36"/>
          <w:szCs w:val="36"/>
          <w:lang w:val="en-US" w:eastAsia="zh-CN" w:bidi="ar"/>
          <w14:textFill>
            <w14:solidFill>
              <w14:schemeClr w14:val="tx1"/>
            </w14:solidFill>
          </w14:textFill>
        </w:rPr>
        <w:t>严格按照《洛隆县“十三五”扶贫产业项目提档升级评估报告》要求，落实责任，细化措施，进一步发挥项目效益。</w:t>
      </w:r>
      <w:r>
        <w:rPr>
          <w:rFonts w:hint="eastAsia" w:ascii="仿宋_GB2312" w:hAnsi="仿宋_GB2312" w:eastAsia="仿宋_GB2312" w:cs="仿宋_GB2312"/>
          <w:b w:val="0"/>
          <w:bCs w:val="0"/>
          <w:kern w:val="2"/>
          <w:sz w:val="36"/>
          <w:szCs w:val="36"/>
          <w:lang w:val="en-US" w:eastAsia="zh-CN" w:bidi="ar"/>
        </w:rPr>
        <w:t>同时，加快推进农畜产品（卡若香猪）深加工、青稞精酿啤酒等重点项目投产运行</w:t>
      </w:r>
      <w:r>
        <w:rPr>
          <w:rFonts w:hint="eastAsia" w:ascii="仿宋_GB2312" w:hAnsi="仿宋_GB2312" w:eastAsia="仿宋_GB2312" w:cs="仿宋_GB2312"/>
          <w:b w:val="0"/>
          <w:bCs w:val="0"/>
          <w:color w:val="000000" w:themeColor="text1"/>
          <w:kern w:val="2"/>
          <w:sz w:val="36"/>
          <w:szCs w:val="36"/>
          <w:lang w:val="en-US" w:eastAsia="zh-CN" w:bidi="ar"/>
          <w14:textFill>
            <w14:solidFill>
              <w14:schemeClr w14:val="tx1"/>
            </w14:solidFill>
          </w14:textFill>
        </w:rPr>
        <w:t>；牦牛产业集群建设取得积极进展。</w:t>
      </w:r>
      <w:r>
        <w:rPr>
          <w:rFonts w:hint="eastAsia" w:ascii="仿宋_GB2312" w:hAnsi="仿宋_GB2312" w:eastAsia="仿宋_GB2312" w:cs="仿宋_GB2312"/>
          <w:b/>
          <w:bCs/>
          <w:kern w:val="2"/>
          <w:sz w:val="36"/>
          <w:szCs w:val="36"/>
          <w:lang w:val="en-US" w:eastAsia="zh-CN" w:bidi="ar"/>
        </w:rPr>
        <w:t>四是</w:t>
      </w:r>
      <w:r>
        <w:rPr>
          <w:rFonts w:hint="eastAsia" w:ascii="仿宋_GB2312" w:hAnsi="仿宋_GB2312" w:eastAsia="仿宋_GB2312" w:cs="仿宋_GB2312"/>
          <w:b w:val="0"/>
          <w:bCs w:val="0"/>
          <w:kern w:val="2"/>
          <w:sz w:val="36"/>
          <w:szCs w:val="36"/>
          <w:lang w:val="en-US" w:eastAsia="zh-CN" w:bidi="ar"/>
        </w:rPr>
        <w:t>统筹推进乡村发展、乡村建设、乡村治理等重点工作，</w:t>
      </w:r>
      <w:r>
        <w:rPr>
          <w:rFonts w:hint="eastAsia" w:ascii="仿宋_GB2312" w:hAnsi="仿宋_GB2312" w:eastAsia="仿宋_GB2312" w:cs="仿宋_GB2312"/>
          <w:kern w:val="2"/>
          <w:sz w:val="36"/>
          <w:szCs w:val="36"/>
          <w:lang w:val="en-US" w:eastAsia="zh-CN" w:bidi="ar"/>
        </w:rPr>
        <w:t>有序推进农村户厕改造和人畜分离、开展农村供水水质提升专项行动，</w:t>
      </w:r>
      <w:r>
        <w:rPr>
          <w:rFonts w:hint="eastAsia" w:ascii="仿宋_GB2312" w:hAnsi="仿宋_GB2312" w:eastAsia="仿宋_GB2312" w:cs="仿宋_GB2312"/>
          <w:b w:val="0"/>
          <w:bCs w:val="0"/>
          <w:kern w:val="2"/>
          <w:sz w:val="36"/>
          <w:szCs w:val="36"/>
          <w:lang w:val="en-US" w:eastAsia="zh-CN" w:bidi="ar"/>
        </w:rPr>
        <w:t>重点实施好4个美丽宜居建设项目；</w:t>
      </w:r>
      <w:r>
        <w:rPr>
          <w:rFonts w:hint="eastAsia" w:ascii="仿宋_GB2312" w:hAnsi="仿宋_GB2312" w:eastAsia="仿宋_GB2312" w:cs="仿宋_GB2312"/>
          <w:b/>
          <w:bCs/>
          <w:kern w:val="2"/>
          <w:sz w:val="36"/>
          <w:szCs w:val="36"/>
          <w:lang w:val="en-US" w:eastAsia="zh-CN" w:bidi="ar"/>
        </w:rPr>
        <w:t>五是</w:t>
      </w:r>
      <w:r>
        <w:rPr>
          <w:rFonts w:hint="eastAsia" w:ascii="仿宋_GB2312" w:hAnsi="仿宋_GB2312" w:eastAsia="仿宋_GB2312" w:cs="仿宋_GB2312"/>
          <w:b w:val="0"/>
          <w:bCs w:val="0"/>
          <w:kern w:val="2"/>
          <w:sz w:val="36"/>
          <w:szCs w:val="36"/>
          <w:lang w:val="en-US" w:eastAsia="zh-CN" w:bidi="ar"/>
        </w:rPr>
        <w:t>推进农业大县建设，严格按照农业大县规划和专项发展项目计划，推进项目申报工作。</w:t>
      </w:r>
      <w:r>
        <w:rPr>
          <w:rFonts w:hint="eastAsia" w:ascii="仿宋_GB2312" w:hAnsi="仿宋_GB2312" w:eastAsia="仿宋_GB2312" w:cs="仿宋_GB2312"/>
          <w:b/>
          <w:bCs/>
          <w:color w:val="000000" w:themeColor="text1"/>
          <w:kern w:val="2"/>
          <w:sz w:val="36"/>
          <w:szCs w:val="36"/>
          <w:lang w:val="en-US" w:eastAsia="zh-CN" w:bidi="ar"/>
          <w14:textFill>
            <w14:solidFill>
              <w14:schemeClr w14:val="tx1"/>
            </w14:solidFill>
          </w14:textFill>
        </w:rPr>
        <w:t>六是</w:t>
      </w:r>
      <w:r>
        <w:rPr>
          <w:rFonts w:hint="eastAsia" w:ascii="仿宋_GB2312" w:hAnsi="仿宋_GB2312" w:eastAsia="仿宋_GB2312" w:cs="仿宋_GB2312"/>
          <w:b w:val="0"/>
          <w:bCs w:val="0"/>
          <w:color w:val="000000" w:themeColor="text1"/>
          <w:kern w:val="2"/>
          <w:sz w:val="36"/>
          <w:szCs w:val="36"/>
          <w:lang w:val="en-US" w:eastAsia="zh-CN" w:bidi="ar"/>
          <w14:textFill>
            <w14:solidFill>
              <w14:schemeClr w14:val="tx1"/>
            </w14:solidFill>
          </w14:textFill>
        </w:rPr>
        <w:t>高质量完成《洛隆县国土空间总体规划（2021-2035）》审批工作，探索建立国土空间规划体系监督实施办法；推动完善13个重点村“多规合一”实用性村庄规划和3个镇控制性详细规划，为乡村振兴提供强力支撑。</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52" w:lineRule="exact"/>
        <w:ind w:left="0" w:leftChars="0" w:right="0" w:rightChars="0" w:firstLine="723" w:firstLineChars="200"/>
        <w:jc w:val="both"/>
        <w:textAlignment w:val="auto"/>
        <w:rPr>
          <w:rFonts w:hint="eastAsia" w:ascii="楷体_GB2312" w:hAnsi="楷体_GB2312" w:eastAsia="楷体_GB2312" w:cs="楷体_GB2312"/>
          <w:b/>
          <w:bCs/>
          <w:kern w:val="2"/>
          <w:sz w:val="36"/>
          <w:szCs w:val="36"/>
          <w:lang w:val="en-US" w:eastAsia="zh-CN" w:bidi="ar"/>
        </w:rPr>
      </w:pPr>
      <w:r>
        <w:rPr>
          <w:rFonts w:hint="eastAsia" w:ascii="楷体_GB2312" w:hAnsi="楷体_GB2312" w:eastAsia="楷体_GB2312" w:cs="楷体_GB2312"/>
          <w:b/>
          <w:bCs/>
          <w:kern w:val="2"/>
          <w:sz w:val="36"/>
          <w:szCs w:val="36"/>
          <w:lang w:val="en-US" w:eastAsia="zh-CN" w:bidi="ar"/>
        </w:rPr>
        <w:t>（三）在推动文旅融合发展上争先进位</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52" w:lineRule="exact"/>
        <w:ind w:left="0" w:leftChars="0" w:right="0" w:rightChars="0" w:firstLine="720" w:firstLineChars="200"/>
        <w:jc w:val="both"/>
        <w:textAlignment w:val="auto"/>
        <w:rPr>
          <w:rFonts w:hint="eastAsia" w:ascii="仿宋_GB2312" w:hAnsi="仿宋_GB2312" w:eastAsia="仿宋_GB2312" w:cs="仿宋_GB2312"/>
          <w:b w:val="0"/>
          <w:bCs w:val="0"/>
          <w:color w:val="000000"/>
          <w:kern w:val="2"/>
          <w:sz w:val="36"/>
          <w:szCs w:val="36"/>
          <w:lang w:val="en-US" w:eastAsia="zh-CN" w:bidi="ar-SA"/>
        </w:rPr>
      </w:pPr>
      <w:r>
        <w:rPr>
          <w:rFonts w:hint="eastAsia" w:ascii="仿宋_GB2312" w:hAnsi="仿宋_GB2312" w:eastAsia="仿宋_GB2312" w:cs="仿宋_GB2312"/>
          <w:b w:val="0"/>
          <w:bCs w:val="0"/>
          <w:color w:val="000000"/>
          <w:kern w:val="2"/>
          <w:sz w:val="36"/>
          <w:szCs w:val="36"/>
          <w:lang w:val="en-US" w:eastAsia="zh-CN" w:bidi="ar-SA"/>
        </w:rPr>
        <w:t>依托茶马公路经济文化旅游带，充分利用好得天独厚的历史、文化和自然资源，走好“文旅”融合发展路。</w:t>
      </w:r>
      <w:r>
        <w:rPr>
          <w:rFonts w:hint="eastAsia" w:ascii="仿宋_GB2312" w:hAnsi="仿宋_GB2312" w:eastAsia="仿宋_GB2312" w:cs="仿宋_GB2312"/>
          <w:b/>
          <w:bCs/>
          <w:color w:val="000000"/>
          <w:kern w:val="2"/>
          <w:sz w:val="36"/>
          <w:szCs w:val="36"/>
          <w:lang w:val="en-US" w:eastAsia="zh-CN" w:bidi="ar-SA"/>
        </w:rPr>
        <w:t>一是推动规划落实。</w:t>
      </w:r>
      <w:r>
        <w:rPr>
          <w:rFonts w:hint="eastAsia" w:ascii="仿宋_GB2312" w:hAnsi="仿宋_GB2312" w:eastAsia="仿宋_GB2312" w:cs="仿宋_GB2312"/>
          <w:b w:val="0"/>
          <w:bCs w:val="0"/>
          <w:color w:val="000000"/>
          <w:kern w:val="2"/>
          <w:sz w:val="36"/>
          <w:szCs w:val="36"/>
          <w:lang w:val="en-US" w:eastAsia="zh-CN" w:bidi="ar-SA"/>
        </w:rPr>
        <w:t>按《洛隆县全域旅游发展规划》《洛隆县文化旅游发展行动策划》，积极对接上级部门申报资金项目支持，加快完成《洛隆县硕督镇旅游名镇规划》、实施G349洛隆县铸牢中华民族共同体意识视觉工程，积极申报洛隆县城至腊久乡八美村快速通道。</w:t>
      </w:r>
      <w:r>
        <w:rPr>
          <w:rFonts w:hint="eastAsia" w:ascii="仿宋_GB2312" w:hAnsi="仿宋_GB2312" w:eastAsia="仿宋_GB2312" w:cs="仿宋_GB2312"/>
          <w:b/>
          <w:bCs/>
          <w:color w:val="000000"/>
          <w:kern w:val="2"/>
          <w:sz w:val="36"/>
          <w:szCs w:val="36"/>
          <w:lang w:val="en-US" w:eastAsia="zh-CN" w:bidi="ar-SA"/>
        </w:rPr>
        <w:t>二是完善文旅设施建设。</w:t>
      </w:r>
      <w:r>
        <w:rPr>
          <w:rFonts w:hint="eastAsia" w:ascii="仿宋_GB2312" w:hAnsi="仿宋_GB2312" w:eastAsia="仿宋_GB2312" w:cs="仿宋_GB2312"/>
          <w:b w:val="0"/>
          <w:bCs w:val="0"/>
          <w:color w:val="000000"/>
          <w:kern w:val="2"/>
          <w:sz w:val="36"/>
          <w:szCs w:val="36"/>
          <w:lang w:val="en-US" w:eastAsia="zh-CN" w:bidi="ar-SA"/>
        </w:rPr>
        <w:t>狠抓景区景点建设，做好多加通旅游康养基地、康沙镇红色旅游项目后续运营管理工作。打造国道沿线风貌改造和夏玉、巴堆、白托等特色村落，做好十八军宿营地、硕督旅游基础设施等重点项目建设，申报硕督古镇、卓玛朗措、巴堆八美生态旅游景区开发创建工作。布局建设酒店、营地、充电桩、通讯设施等旅游服务配套设施，以俄西农业现代化示范基地为依托，结合俄西、马利、孜托优势资源，积极探索农旅融合发展。</w:t>
      </w:r>
      <w:r>
        <w:rPr>
          <w:rFonts w:hint="eastAsia" w:ascii="仿宋_GB2312" w:hAnsi="仿宋_GB2312" w:eastAsia="仿宋_GB2312" w:cs="仿宋_GB2312"/>
          <w:b/>
          <w:bCs/>
          <w:color w:val="000000"/>
          <w:kern w:val="2"/>
          <w:sz w:val="36"/>
          <w:szCs w:val="36"/>
          <w:lang w:val="en-US" w:eastAsia="zh-CN" w:bidi="ar-SA"/>
        </w:rPr>
        <w:t>三是做好宣传推介。</w:t>
      </w:r>
      <w:r>
        <w:rPr>
          <w:rFonts w:hint="eastAsia" w:ascii="仿宋_GB2312" w:hAnsi="仿宋_GB2312" w:eastAsia="仿宋_GB2312" w:cs="仿宋_GB2312"/>
          <w:b w:val="0"/>
          <w:bCs w:val="0"/>
          <w:color w:val="000000"/>
          <w:kern w:val="2"/>
          <w:sz w:val="36"/>
          <w:szCs w:val="36"/>
          <w:lang w:val="en-US" w:eastAsia="zh-CN" w:bidi="ar-SA"/>
        </w:rPr>
        <w:t>以俄西杏花旅游文化节、卓玛朗措艺术节为载体，推进“引客入洛”行动。提前筹备谋划第十届俄西杏花旅游文化节、卓玛朗措艺术节及茶马古道文化论坛工作；利用新媒体，提升全县各景区景点的曝光率，推出更多“打卡地”，吸引游客来洛隆旅游，促进文旅事业不断繁荣发展。</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52" w:lineRule="exact"/>
        <w:ind w:left="0" w:leftChars="0" w:right="0" w:rightChars="0" w:firstLine="723" w:firstLineChars="200"/>
        <w:jc w:val="both"/>
        <w:textAlignment w:val="auto"/>
        <w:rPr>
          <w:rFonts w:hint="eastAsia" w:ascii="楷体_GB2312" w:hAnsi="楷体_GB2312" w:eastAsia="楷体_GB2312" w:cs="楷体_GB2312"/>
          <w:b/>
          <w:bCs/>
          <w:kern w:val="2"/>
          <w:sz w:val="36"/>
          <w:szCs w:val="36"/>
          <w:lang w:val="en-US" w:eastAsia="zh-CN" w:bidi="ar"/>
        </w:rPr>
      </w:pPr>
      <w:r>
        <w:rPr>
          <w:rFonts w:hint="eastAsia" w:ascii="楷体_GB2312" w:hAnsi="楷体_GB2312" w:eastAsia="楷体_GB2312" w:cs="楷体_GB2312"/>
          <w:b/>
          <w:bCs/>
          <w:kern w:val="2"/>
          <w:sz w:val="36"/>
          <w:szCs w:val="36"/>
          <w:lang w:val="en-US" w:eastAsia="zh-CN" w:bidi="ar"/>
        </w:rPr>
        <w:t>（四）在增进民生福祉上争先进位</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52" w:lineRule="exact"/>
        <w:ind w:left="0" w:leftChars="0" w:right="0" w:rightChars="0" w:firstLine="720" w:firstLineChars="200"/>
        <w:jc w:val="both"/>
        <w:textAlignment w:val="auto"/>
        <w:rPr>
          <w:rFonts w:hint="default"/>
          <w:sz w:val="36"/>
          <w:szCs w:val="36"/>
          <w:lang w:val="en-US" w:eastAsia="zh-CN"/>
        </w:rPr>
      </w:pPr>
      <w:r>
        <w:rPr>
          <w:rFonts w:hint="eastAsia" w:ascii="仿宋_GB2312" w:hAnsi="仿宋_GB2312" w:eastAsia="仿宋_GB2312" w:cs="仿宋_GB2312"/>
          <w:b w:val="0"/>
          <w:bCs w:val="0"/>
          <w:color w:val="auto"/>
          <w:kern w:val="2"/>
          <w:sz w:val="36"/>
          <w:szCs w:val="36"/>
          <w:lang w:val="en-US" w:eastAsia="zh-CN" w:bidi="ar-SA"/>
        </w:rPr>
        <w:t>我们坚持在发展中保障和改善民生，着力解决好人民群众急难愁盼问题，健全基本公共服务体系，提高公共服务水平。</w:t>
      </w:r>
      <w:r>
        <w:rPr>
          <w:rFonts w:hint="eastAsia" w:ascii="仿宋_GB2312" w:hAnsi="仿宋_GB2312" w:eastAsia="仿宋_GB2312" w:cs="仿宋_GB2312"/>
          <w:b/>
          <w:bCs/>
          <w:color w:val="auto"/>
          <w:kern w:val="2"/>
          <w:sz w:val="36"/>
          <w:szCs w:val="36"/>
          <w:lang w:val="en-US" w:eastAsia="zh-CN" w:bidi="ar-SA"/>
        </w:rPr>
        <w:t>一是稳就业保增收。</w:t>
      </w:r>
      <w:r>
        <w:rPr>
          <w:rFonts w:hint="eastAsia" w:ascii="仿宋_GB2312" w:hAnsi="仿宋_GB2312" w:eastAsia="仿宋_GB2312" w:cs="仿宋_GB2312"/>
          <w:b w:val="0"/>
          <w:bCs w:val="0"/>
          <w:color w:val="auto"/>
          <w:kern w:val="2"/>
          <w:sz w:val="36"/>
          <w:szCs w:val="36"/>
          <w:lang w:val="en-US" w:eastAsia="zh-CN" w:bidi="ar-SA"/>
        </w:rPr>
        <w:t>接续落实《农牧民群众持续增收的十条措施》，建立农牧民转移就业“市统筹、县调度、乡登记、村组织”模式，把政府投资400万以下，能够交由农牧民施工队组织实施的项目全部交由具备资质的农牧民施工队或村集体经济组织实施，确保项目吸纳当地农牧民群众务工占总用工的80%以上。落实创业就业系列扶持政策，通过转移就业、就近就业等方式多渠道促进就业，预计2024年解决富余劳动力转移就业11000人次。</w:t>
      </w:r>
      <w:r>
        <w:rPr>
          <w:rFonts w:hint="eastAsia" w:ascii="仿宋_GB2312" w:hAnsi="仿宋_GB2312" w:eastAsia="仿宋_GB2312" w:cs="仿宋_GB2312"/>
          <w:b/>
          <w:bCs/>
          <w:color w:val="auto"/>
          <w:kern w:val="2"/>
          <w:sz w:val="36"/>
          <w:szCs w:val="36"/>
          <w:lang w:val="en-US" w:eastAsia="zh-CN" w:bidi="ar-SA"/>
        </w:rPr>
        <w:t>二是补齐教育短板。</w:t>
      </w:r>
      <w:r>
        <w:rPr>
          <w:rFonts w:hint="eastAsia" w:ascii="仿宋_GB2312" w:hAnsi="仿宋_GB2312" w:eastAsia="仿宋_GB2312" w:cs="仿宋_GB2312"/>
          <w:b w:val="0"/>
          <w:bCs w:val="0"/>
          <w:color w:val="auto"/>
          <w:kern w:val="2"/>
          <w:sz w:val="36"/>
          <w:szCs w:val="36"/>
          <w:lang w:val="en-US" w:eastAsia="zh-CN" w:bidi="ar-SA"/>
        </w:rPr>
        <w:t>推动教育“保安全、保健康、保教学”工程机制化、规范化，强化“明厨亮灶”标准化建设，做好学前教育普及普惠验收准备工作，向上级部门争取人才、项目、资金支持，确保顺利通过自治区验收。争取洛隆县第二初级中学、康沙镇小学规范化建设项目等教育重点项目尽快落地、早日开工建设。</w:t>
      </w:r>
      <w:r>
        <w:rPr>
          <w:rFonts w:hint="eastAsia" w:ascii="仿宋_GB2312" w:hAnsi="仿宋_GB2312" w:eastAsia="仿宋_GB2312" w:cs="仿宋_GB2312"/>
          <w:b/>
          <w:bCs/>
          <w:color w:val="auto"/>
          <w:kern w:val="2"/>
          <w:sz w:val="36"/>
          <w:szCs w:val="36"/>
          <w:lang w:val="en-US" w:eastAsia="zh-CN" w:bidi="ar-SA"/>
        </w:rPr>
        <w:t>三是补齐医疗卫生短板。</w:t>
      </w:r>
      <w:r>
        <w:rPr>
          <w:rFonts w:hint="eastAsia" w:ascii="仿宋_GB2312" w:hAnsi="仿宋_GB2312" w:eastAsia="仿宋_GB2312" w:cs="仿宋_GB2312"/>
          <w:b w:val="0"/>
          <w:bCs w:val="0"/>
          <w:color w:val="auto"/>
          <w:kern w:val="2"/>
          <w:sz w:val="36"/>
          <w:szCs w:val="36"/>
          <w:lang w:val="en-US" w:eastAsia="zh-CN" w:bidi="ar-SA"/>
        </w:rPr>
        <w:t>持续推进区域医疗中心建设，深化县域综合医改工作，加强公共卫生服务体系建设，持续做好妇幼保健、大骨节病救治、先心病筛查、传染病防治、基本公共卫生服务、藏医药传承发展等重点工作，积极向上级申报县人民医院提标扩能建设项目，完善消防、供电、给排水等附属设施，做好“两降一升”工作，强化妇幼健康服务体系和服务能力建设。</w:t>
      </w:r>
      <w:r>
        <w:rPr>
          <w:rFonts w:hint="eastAsia" w:ascii="仿宋_GB2312" w:hAnsi="仿宋_GB2312" w:eastAsia="仿宋_GB2312" w:cs="仿宋_GB2312"/>
          <w:b/>
          <w:bCs/>
          <w:color w:val="auto"/>
          <w:kern w:val="2"/>
          <w:sz w:val="36"/>
          <w:szCs w:val="36"/>
          <w:lang w:val="en-US" w:eastAsia="zh-CN" w:bidi="ar-SA"/>
        </w:rPr>
        <w:t>四是健全社会保障体系。</w:t>
      </w:r>
      <w:r>
        <w:rPr>
          <w:rFonts w:hint="eastAsia" w:ascii="仿宋_GB2312" w:hAnsi="仿宋_GB2312" w:eastAsia="仿宋_GB2312" w:cs="仿宋_GB2312"/>
          <w:b w:val="0"/>
          <w:bCs w:val="0"/>
          <w:color w:val="auto"/>
          <w:kern w:val="2"/>
          <w:sz w:val="36"/>
          <w:szCs w:val="36"/>
          <w:lang w:val="en-US" w:eastAsia="zh-CN" w:bidi="ar-SA"/>
        </w:rPr>
        <w:t>加快推进中松村地方病搬迁项目，做好66套公租房建设工作，积极申报220套周转房项目，切实保障干部群众住房需求。精准实施社会保障、一老一小、社会救助工程，及时救助孤寡老人、孤儿及困境儿童、重病重残人员、低保对象、特困人员、流浪乞讨人员等特殊困难群体；</w:t>
      </w:r>
      <w:r>
        <w:rPr>
          <w:rFonts w:hint="eastAsia" w:ascii="仿宋_GB2312" w:hAnsi="仿宋_GB2312" w:eastAsia="仿宋_GB2312" w:cs="仿宋_GB2312"/>
          <w:b/>
          <w:bCs/>
          <w:color w:val="000000" w:themeColor="text1"/>
          <w:kern w:val="2"/>
          <w:sz w:val="36"/>
          <w:szCs w:val="36"/>
          <w:lang w:val="en-US" w:eastAsia="zh-CN" w:bidi="ar"/>
          <w14:textFill>
            <w14:solidFill>
              <w14:schemeClr w14:val="tx1"/>
            </w14:solidFill>
          </w14:textFill>
        </w:rPr>
        <w:t>五是加强基础设施建设。</w:t>
      </w:r>
      <w:r>
        <w:rPr>
          <w:rFonts w:hint="eastAsia" w:ascii="仿宋_GB2312" w:hAnsi="仿宋_GB2312" w:eastAsia="仿宋_GB2312" w:cs="仿宋_GB2312"/>
          <w:color w:val="000000" w:themeColor="text1"/>
          <w:kern w:val="2"/>
          <w:sz w:val="36"/>
          <w:szCs w:val="36"/>
          <w:lang w:val="en-US" w:eastAsia="zh-CN" w:bidi="ar"/>
          <w14:textFill>
            <w14:solidFill>
              <w14:schemeClr w14:val="tx1"/>
            </w14:solidFill>
          </w14:textFill>
        </w:rPr>
        <w:t>推进县乡公路安全生命防护工程、乡镇综合运输服务站建设，积极申报电信普遍服务项目，解决国省道沿线、自然村组信号网络覆盖弱问题，积极</w:t>
      </w:r>
      <w:r>
        <w:rPr>
          <w:rFonts w:hint="eastAsia" w:ascii="仿宋_GB2312" w:hAnsi="仿宋_GB2312" w:eastAsia="仿宋_GB2312" w:cs="仿宋_GB2312"/>
          <w:b w:val="0"/>
          <w:bCs w:val="0"/>
          <w:color w:val="000000" w:themeColor="text1"/>
          <w:kern w:val="2"/>
          <w:sz w:val="36"/>
          <w:szCs w:val="36"/>
          <w:lang w:val="en-US" w:eastAsia="zh-CN" w:bidi="ar"/>
          <w14:textFill>
            <w14:solidFill>
              <w14:schemeClr w14:val="tx1"/>
            </w14:solidFill>
          </w14:textFill>
        </w:rPr>
        <w:t>申报县城供暖、卓玛朗措桥梁建设、县城雨污分流建设等惠及民生的重大项目，力争尽早落地实施。</w:t>
      </w:r>
      <w:r>
        <w:rPr>
          <w:rFonts w:hint="eastAsia" w:ascii="仿宋_GB2312" w:hAnsi="仿宋_GB2312" w:eastAsia="仿宋_GB2312" w:cs="仿宋_GB2312"/>
          <w:b w:val="0"/>
          <w:bCs w:val="0"/>
          <w:color w:val="auto"/>
          <w:kern w:val="2"/>
          <w:sz w:val="36"/>
          <w:szCs w:val="36"/>
          <w:lang w:val="en-US" w:eastAsia="zh-CN" w:bidi="ar-SA"/>
        </w:rPr>
        <w:t>强力推进3·17地震灾后重建附属工程；坚持政府过“紧日子”不动摇，同时，紧盯广大干部群众最希望、最期盼、最迫切的事项，打通改善民生和服务保障群众“最后一公里”，制定和落实好2024年民生实事任务。</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52" w:lineRule="exact"/>
        <w:ind w:right="0" w:rightChars="0" w:firstLine="723" w:firstLineChars="200"/>
        <w:jc w:val="both"/>
        <w:textAlignment w:val="auto"/>
        <w:rPr>
          <w:rFonts w:hint="eastAsia" w:ascii="楷体_GB2312" w:hAnsi="楷体_GB2312" w:eastAsia="楷体_GB2312" w:cs="楷体_GB2312"/>
          <w:b/>
          <w:bCs/>
          <w:kern w:val="2"/>
          <w:sz w:val="36"/>
          <w:szCs w:val="36"/>
          <w:lang w:val="en-US" w:eastAsia="zh-CN" w:bidi="ar"/>
        </w:rPr>
      </w:pPr>
      <w:r>
        <w:rPr>
          <w:rFonts w:hint="eastAsia" w:ascii="楷体_GB2312" w:hAnsi="楷体_GB2312" w:eastAsia="楷体_GB2312" w:cs="楷体_GB2312"/>
          <w:b/>
          <w:bCs/>
          <w:kern w:val="2"/>
          <w:sz w:val="36"/>
          <w:szCs w:val="36"/>
          <w:lang w:val="en-US" w:eastAsia="zh-CN" w:bidi="ar"/>
        </w:rPr>
        <w:t>（五）在筑牢生态屏障上争先进位</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52" w:lineRule="exact"/>
        <w:ind w:left="0" w:leftChars="0" w:right="0" w:rightChars="0" w:firstLine="720" w:firstLineChars="200"/>
        <w:jc w:val="both"/>
        <w:textAlignment w:val="auto"/>
        <w:rPr>
          <w:rFonts w:hint="eastAsia"/>
          <w:sz w:val="36"/>
          <w:szCs w:val="36"/>
          <w:lang w:val="en-US" w:eastAsia="zh-CN"/>
        </w:rPr>
      </w:pPr>
      <w:r>
        <w:rPr>
          <w:rFonts w:hint="eastAsia" w:ascii="仿宋_GB2312" w:hAnsi="仿宋_GB2312" w:eastAsia="仿宋_GB2312" w:cs="仿宋_GB2312"/>
          <w:b w:val="0"/>
          <w:bCs w:val="0"/>
          <w:color w:val="auto"/>
          <w:kern w:val="2"/>
          <w:sz w:val="36"/>
          <w:szCs w:val="36"/>
          <w:lang w:val="en-US" w:eastAsia="zh-CN" w:bidi="ar-SA"/>
        </w:rPr>
        <w:t>我们必须牢固树立和践行“绿水青山就是金山银山 冰天雪地也是金山银山”的理念。</w:t>
      </w:r>
      <w:r>
        <w:rPr>
          <w:rFonts w:hint="eastAsia" w:ascii="仿宋_GB2312" w:hAnsi="仿宋_GB2312" w:eastAsia="仿宋_GB2312" w:cs="仿宋_GB2312"/>
          <w:b/>
          <w:bCs/>
          <w:color w:val="auto"/>
          <w:kern w:val="2"/>
          <w:sz w:val="36"/>
          <w:szCs w:val="36"/>
          <w:lang w:val="en-US" w:eastAsia="zh-CN" w:bidi="ar-SA"/>
        </w:rPr>
        <w:t>一是</w:t>
      </w:r>
      <w:r>
        <w:rPr>
          <w:rFonts w:hint="eastAsia" w:ascii="仿宋_GB2312" w:hAnsi="仿宋_GB2312" w:eastAsia="仿宋_GB2312" w:cs="仿宋_GB2312"/>
          <w:b/>
          <w:bCs/>
          <w:kern w:val="2"/>
          <w:sz w:val="36"/>
          <w:szCs w:val="36"/>
          <w:lang w:val="en-US" w:eastAsia="zh-CN" w:bidi="ar"/>
        </w:rPr>
        <w:t>加大生态保护力度。</w:t>
      </w:r>
      <w:r>
        <w:rPr>
          <w:rFonts w:hint="eastAsia" w:ascii="仿宋_GB2312" w:hAnsi="仿宋_GB2312" w:eastAsia="仿宋_GB2312" w:cs="仿宋_GB2312"/>
          <w:b w:val="0"/>
          <w:bCs w:val="0"/>
          <w:kern w:val="2"/>
          <w:sz w:val="36"/>
          <w:szCs w:val="36"/>
          <w:lang w:val="en-US" w:eastAsia="zh-CN" w:bidi="ar"/>
        </w:rPr>
        <w:t>持续巩固洛隆生态文明建设成效，加强对中央、自治区生态环保督察转办案件和反馈问题的整改工作，确保全部整改完成。同时，严格生态环境执法监管，坚决打击生态环境违法行为，严把项目审批关，严禁“两高”项目入驻洛隆。加快补齐环境基础设施短板，推进乡村污水、垃圾处理等项目建成投产。</w:t>
      </w:r>
      <w:r>
        <w:rPr>
          <w:rFonts w:hint="eastAsia" w:ascii="仿宋_GB2312" w:hAnsi="仿宋_GB2312" w:eastAsia="仿宋_GB2312" w:cs="仿宋_GB2312"/>
          <w:b/>
          <w:bCs/>
          <w:color w:val="auto"/>
          <w:kern w:val="2"/>
          <w:sz w:val="36"/>
          <w:szCs w:val="36"/>
          <w:lang w:val="en-US" w:eastAsia="zh-CN" w:bidi="ar-SA"/>
        </w:rPr>
        <w:t>二是加快绿化工程建设。</w:t>
      </w:r>
      <w:r>
        <w:rPr>
          <w:rFonts w:hint="eastAsia" w:ascii="仿宋_GB2312" w:hAnsi="仿宋_GB2312" w:eastAsia="仿宋_GB2312" w:cs="仿宋_GB2312"/>
          <w:b w:val="0"/>
          <w:bCs w:val="0"/>
          <w:color w:val="auto"/>
          <w:kern w:val="2"/>
          <w:sz w:val="36"/>
          <w:szCs w:val="36"/>
          <w:lang w:val="en-US" w:eastAsia="zh-CN" w:bidi="ar-SA"/>
        </w:rPr>
        <w:t>加快县城造林绿化生态修复工程、2022重点区域生态保护与修复工程、“两江四河”流域2021年洛隆县造林绿化工程三个项目的开复工建设，推动国道349洛隆至硕督段沿线生态修复工程、孜托镇国土绿化生态修复等项目的开工建设，全年计划完成国土绿化面积5000亩以上，大面积提升城乡绿化率，构建美丽宜居环境。</w:t>
      </w:r>
      <w:r>
        <w:rPr>
          <w:rFonts w:hint="eastAsia" w:ascii="仿宋_GB2312" w:hAnsi="仿宋_GB2312" w:eastAsia="仿宋_GB2312" w:cs="仿宋_GB2312"/>
          <w:b/>
          <w:bCs/>
          <w:color w:val="auto"/>
          <w:kern w:val="2"/>
          <w:sz w:val="36"/>
          <w:szCs w:val="36"/>
          <w:lang w:val="en-US" w:eastAsia="zh-CN" w:bidi="ar-SA"/>
        </w:rPr>
        <w:t>三是推进生态文明创建。</w:t>
      </w:r>
      <w:r>
        <w:rPr>
          <w:rFonts w:hint="eastAsia" w:ascii="仿宋_GB2312" w:hAnsi="仿宋_GB2312" w:eastAsia="仿宋_GB2312" w:cs="仿宋_GB2312"/>
          <w:b w:val="0"/>
          <w:bCs w:val="0"/>
          <w:color w:val="auto"/>
          <w:kern w:val="2"/>
          <w:sz w:val="36"/>
          <w:szCs w:val="36"/>
          <w:lang w:val="en-US" w:eastAsia="zh-CN" w:bidi="ar-SA"/>
        </w:rPr>
        <w:t>全面对照国家生态文明建设示范县指标要求，夯实我县创建基础，争创自治区生态文明建设示范县，启动国家级生态文明示范县创建工作，并适时开展规划编制和申报工作，为生态洛隆再“添”名片。</w:t>
      </w:r>
      <w:r>
        <w:rPr>
          <w:rFonts w:hint="eastAsia" w:ascii="仿宋_GB2312" w:hAnsi="仿宋_GB2312" w:eastAsia="仿宋_GB2312" w:cs="仿宋_GB2312"/>
          <w:b/>
          <w:bCs/>
          <w:color w:val="auto"/>
          <w:kern w:val="2"/>
          <w:sz w:val="36"/>
          <w:szCs w:val="36"/>
          <w:lang w:val="en-US" w:eastAsia="zh-CN" w:bidi="ar-SA"/>
        </w:rPr>
        <w:t>四是延伸生态富民广度。</w:t>
      </w:r>
      <w:r>
        <w:rPr>
          <w:rFonts w:hint="eastAsia" w:ascii="仿宋_GB2312" w:hAnsi="仿宋_GB2312" w:eastAsia="仿宋_GB2312" w:cs="仿宋_GB2312"/>
          <w:b w:val="0"/>
          <w:bCs w:val="0"/>
          <w:color w:val="auto"/>
          <w:kern w:val="2"/>
          <w:sz w:val="36"/>
          <w:szCs w:val="36"/>
          <w:lang w:val="en-US" w:eastAsia="zh-CN" w:bidi="ar-SA"/>
        </w:rPr>
        <w:t>发展生态富民产业，</w:t>
      </w:r>
      <w:r>
        <w:rPr>
          <w:rFonts w:hint="eastAsia" w:ascii="仿宋_GB2312" w:hAnsi="仿宋_GB2312" w:eastAsia="仿宋_GB2312" w:cs="仿宋_GB2312"/>
          <w:b w:val="0"/>
          <w:bCs w:val="0"/>
          <w:kern w:val="2"/>
          <w:sz w:val="36"/>
          <w:szCs w:val="36"/>
          <w:lang w:val="en-US" w:eastAsia="zh-CN" w:bidi="ar"/>
        </w:rPr>
        <w:t>发展林下经济、</w:t>
      </w:r>
      <w:r>
        <w:rPr>
          <w:rFonts w:hint="eastAsia" w:ascii="仿宋_GB2312" w:hAnsi="仿宋_GB2312" w:eastAsia="仿宋_GB2312" w:cs="仿宋_GB2312"/>
          <w:b w:val="0"/>
          <w:bCs w:val="0"/>
          <w:color w:val="auto"/>
          <w:kern w:val="2"/>
          <w:sz w:val="36"/>
          <w:szCs w:val="36"/>
          <w:lang w:val="en-US" w:eastAsia="zh-CN" w:bidi="ar-SA"/>
        </w:rPr>
        <w:t>打造一批“生态+旅游”特色乡村，培养一批林下资源“购加销”合作社，及时足额兑现生态岗位补助资金，严格落实生态补偿政策，积极扶持本地苗圃经营企业，让更多群众吃上生态饭，走上致富路。</w:t>
      </w:r>
      <w:r>
        <w:rPr>
          <w:rFonts w:hint="eastAsia" w:ascii="仿宋_GB2312" w:hAnsi="仿宋_GB2312" w:eastAsia="仿宋_GB2312" w:cs="仿宋_GB2312"/>
          <w:b/>
          <w:bCs/>
          <w:color w:val="auto"/>
          <w:kern w:val="2"/>
          <w:sz w:val="36"/>
          <w:szCs w:val="36"/>
          <w:lang w:val="en-US" w:eastAsia="zh-CN" w:bidi="ar-SA"/>
        </w:rPr>
        <w:t>五是推动碳汇经济发展。</w:t>
      </w:r>
      <w:r>
        <w:rPr>
          <w:rFonts w:hint="eastAsia" w:ascii="仿宋_GB2312" w:hAnsi="仿宋_GB2312" w:eastAsia="仿宋_GB2312" w:cs="仿宋_GB2312"/>
          <w:b w:val="0"/>
          <w:bCs w:val="0"/>
          <w:kern w:val="2"/>
          <w:sz w:val="36"/>
          <w:szCs w:val="36"/>
          <w:lang w:val="en-US" w:eastAsia="zh-CN" w:bidi="ar"/>
        </w:rPr>
        <w:t>主动融入国家“双碳”战略和绿色发展大局，</w:t>
      </w:r>
      <w:r>
        <w:rPr>
          <w:rFonts w:hint="eastAsia" w:ascii="仿宋_GB2312" w:hAnsi="仿宋_GB2312" w:eastAsia="仿宋_GB2312" w:cs="仿宋_GB2312"/>
          <w:b w:val="0"/>
          <w:bCs w:val="0"/>
          <w:color w:val="auto"/>
          <w:kern w:val="2"/>
          <w:sz w:val="36"/>
          <w:szCs w:val="36"/>
          <w:lang w:val="en-US" w:eastAsia="zh-CN" w:bidi="ar-SA"/>
        </w:rPr>
        <w:t>加强与碳汇企业的协调对接，积极推动碳汇预售工作，持续推动林草碳汇项目落地见成效。</w:t>
      </w:r>
    </w:p>
    <w:p>
      <w:pPr>
        <w:keepNext w:val="0"/>
        <w:keepLines w:val="0"/>
        <w:pageBreakBefore w:val="0"/>
        <w:widowControl w:val="0"/>
        <w:numPr>
          <w:ilvl w:val="0"/>
          <w:numId w:val="0"/>
        </w:numPr>
        <w:kinsoku/>
        <w:wordWrap/>
        <w:overflowPunct/>
        <w:topLinePunct w:val="0"/>
        <w:autoSpaceDE w:val="0"/>
        <w:autoSpaceDN/>
        <w:bidi w:val="0"/>
        <w:adjustRightInd/>
        <w:snapToGrid/>
        <w:spacing w:line="552" w:lineRule="exact"/>
        <w:ind w:firstLine="723" w:firstLineChars="200"/>
        <w:textAlignment w:val="auto"/>
        <w:rPr>
          <w:rFonts w:hint="eastAsia" w:ascii="楷体_GB2312" w:hAnsi="楷体_GB2312" w:eastAsia="楷体_GB2312" w:cs="楷体_GB2312"/>
          <w:b/>
          <w:bCs/>
          <w:sz w:val="36"/>
          <w:szCs w:val="36"/>
          <w:lang w:eastAsia="zh-CN" w:bidi="ar"/>
        </w:rPr>
      </w:pPr>
      <w:r>
        <w:rPr>
          <w:rFonts w:hint="eastAsia" w:ascii="楷体_GB2312" w:hAnsi="楷体_GB2312" w:eastAsia="楷体_GB2312" w:cs="楷体_GB2312"/>
          <w:b/>
          <w:bCs/>
          <w:sz w:val="36"/>
          <w:szCs w:val="36"/>
          <w:lang w:eastAsia="zh-CN" w:bidi="ar"/>
        </w:rPr>
        <w:t>（</w:t>
      </w:r>
      <w:r>
        <w:rPr>
          <w:rFonts w:hint="eastAsia" w:ascii="楷体_GB2312" w:hAnsi="楷体_GB2312" w:eastAsia="楷体_GB2312" w:cs="楷体_GB2312"/>
          <w:b/>
          <w:bCs/>
          <w:sz w:val="36"/>
          <w:szCs w:val="36"/>
          <w:lang w:val="en-US" w:eastAsia="zh-CN" w:bidi="ar"/>
        </w:rPr>
        <w:t>六</w:t>
      </w:r>
      <w:r>
        <w:rPr>
          <w:rFonts w:hint="eastAsia" w:ascii="楷体_GB2312" w:hAnsi="楷体_GB2312" w:eastAsia="楷体_GB2312" w:cs="楷体_GB2312"/>
          <w:b/>
          <w:bCs/>
          <w:sz w:val="36"/>
          <w:szCs w:val="36"/>
          <w:lang w:eastAsia="zh-CN" w:bidi="ar"/>
        </w:rPr>
        <w:t>）</w:t>
      </w:r>
      <w:r>
        <w:rPr>
          <w:rFonts w:hint="eastAsia" w:ascii="楷体_GB2312" w:hAnsi="楷体_GB2312" w:eastAsia="楷体_GB2312" w:cs="楷体_GB2312"/>
          <w:b/>
          <w:bCs/>
          <w:sz w:val="36"/>
          <w:szCs w:val="36"/>
          <w:lang w:bidi="ar"/>
        </w:rPr>
        <w:t>在巩固安全稳定上争先进位</w:t>
      </w:r>
    </w:p>
    <w:p>
      <w:pPr>
        <w:keepNext w:val="0"/>
        <w:keepLines w:val="0"/>
        <w:pageBreakBefore w:val="0"/>
        <w:widowControl w:val="0"/>
        <w:numPr>
          <w:ilvl w:val="0"/>
          <w:numId w:val="0"/>
        </w:numPr>
        <w:kinsoku/>
        <w:wordWrap/>
        <w:overflowPunct/>
        <w:topLinePunct w:val="0"/>
        <w:autoSpaceDE w:val="0"/>
        <w:autoSpaceDN/>
        <w:bidi w:val="0"/>
        <w:adjustRightInd/>
        <w:snapToGrid/>
        <w:spacing w:line="552" w:lineRule="exact"/>
        <w:ind w:firstLine="720" w:firstLineChars="200"/>
        <w:textAlignment w:val="auto"/>
        <w:rPr>
          <w:rFonts w:hint="eastAsia" w:ascii="仿宋_GB2312" w:hAnsi="仿宋_GB2312" w:eastAsia="仿宋_GB2312"/>
          <w:sz w:val="36"/>
          <w:szCs w:val="36"/>
          <w:lang w:bidi="ar"/>
        </w:rPr>
      </w:pPr>
      <w:r>
        <w:rPr>
          <w:rFonts w:hint="eastAsia" w:ascii="仿宋_GB2312" w:hAnsi="仿宋_GB2312" w:eastAsia="仿宋_GB2312"/>
          <w:sz w:val="36"/>
          <w:szCs w:val="36"/>
          <w:lang w:bidi="ar"/>
        </w:rPr>
        <w:t>全面落实总体国家安全观，从更高站位、更深层次统筹推进平安洛隆建设，营造安全稳定的发展环境。</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52" w:lineRule="exact"/>
        <w:ind w:left="0" w:leftChars="0" w:right="0" w:firstLine="723" w:firstLineChars="200"/>
        <w:jc w:val="both"/>
        <w:textAlignment w:val="auto"/>
        <w:rPr>
          <w:rFonts w:hint="eastAsia" w:ascii="仿宋_GB2312" w:hAnsi="仿宋_GB2312" w:eastAsia="仿宋_GB2312" w:cs="仿宋_GB2312"/>
          <w:b w:val="0"/>
          <w:bCs w:val="0"/>
          <w:kern w:val="2"/>
          <w:sz w:val="36"/>
          <w:szCs w:val="36"/>
          <w:lang w:val="en-US" w:eastAsia="zh-CN" w:bidi="ar"/>
        </w:rPr>
      </w:pPr>
      <w:r>
        <w:rPr>
          <w:rFonts w:hint="eastAsia" w:ascii="仿宋_GB2312" w:hAnsi="仿宋_GB2312" w:eastAsia="仿宋_GB2312" w:cs="仿宋_GB2312"/>
          <w:b/>
          <w:bCs/>
          <w:kern w:val="2"/>
          <w:sz w:val="36"/>
          <w:szCs w:val="36"/>
          <w:lang w:val="en-US" w:eastAsia="zh-CN" w:bidi="ar"/>
        </w:rPr>
        <w:t>一是抓实抓牢安全生产。</w:t>
      </w:r>
      <w:r>
        <w:rPr>
          <w:rFonts w:hint="eastAsia" w:ascii="仿宋_GB2312" w:hAnsi="仿宋_GB2312" w:eastAsia="仿宋_GB2312" w:cs="仿宋_GB2312"/>
          <w:b w:val="0"/>
          <w:bCs w:val="0"/>
          <w:kern w:val="2"/>
          <w:sz w:val="36"/>
          <w:szCs w:val="36"/>
          <w:lang w:val="en-US" w:eastAsia="zh-CN" w:bidi="ar"/>
        </w:rPr>
        <w:t>严格落实安全生产责任制和15条硬措施，紧盯道路交通、用电用火、森林草原防火、危爆物品运输仓储、建筑施工等重点领域重点行业，深化安全生产风险隐患大排查，坚决遏制重特大安全事故发生。</w:t>
      </w:r>
      <w:r>
        <w:rPr>
          <w:rFonts w:hint="eastAsia" w:ascii="仿宋_GB2312" w:hAnsi="仿宋_GB2312" w:eastAsia="仿宋_GB2312" w:cs="仿宋_GB2312"/>
          <w:b/>
          <w:bCs/>
          <w:kern w:val="2"/>
          <w:sz w:val="36"/>
          <w:szCs w:val="36"/>
          <w:lang w:val="en-US" w:eastAsia="zh-CN" w:bidi="ar"/>
        </w:rPr>
        <w:t>二是持续开展反分裂斗争。</w:t>
      </w:r>
      <w:r>
        <w:rPr>
          <w:rFonts w:hint="eastAsia" w:ascii="仿宋_GB2312" w:hAnsi="仿宋_GB2312" w:eastAsia="仿宋_GB2312" w:cs="仿宋_GB2312"/>
          <w:b w:val="0"/>
          <w:bCs w:val="0"/>
          <w:kern w:val="2"/>
          <w:sz w:val="36"/>
          <w:szCs w:val="36"/>
          <w:lang w:val="en-US" w:eastAsia="zh-CN" w:bidi="ar"/>
        </w:rPr>
        <w:t>持续落实“五盯、五防、五稳”工作部署，积极应对重大政治斗争，健全完善应急处置工作方案预案，牢牢掌握反分裂斗争主动权。</w:t>
      </w:r>
      <w:r>
        <w:rPr>
          <w:rFonts w:hint="eastAsia" w:ascii="仿宋_GB2312" w:hAnsi="仿宋_GB2312" w:eastAsia="仿宋_GB2312" w:cs="仿宋_GB2312"/>
          <w:b/>
          <w:bCs/>
          <w:kern w:val="2"/>
          <w:sz w:val="36"/>
          <w:szCs w:val="36"/>
          <w:lang w:val="en-US" w:eastAsia="zh-CN" w:bidi="ar"/>
        </w:rPr>
        <w:t>三是千方百计保社会稳定。</w:t>
      </w:r>
      <w:r>
        <w:rPr>
          <w:rFonts w:hint="eastAsia" w:ascii="仿宋_GB2312" w:hAnsi="仿宋_GB2312" w:eastAsia="仿宋_GB2312" w:cs="仿宋_GB2312"/>
          <w:b w:val="0"/>
          <w:bCs w:val="0"/>
          <w:color w:val="000000" w:themeColor="text1"/>
          <w:kern w:val="2"/>
          <w:sz w:val="36"/>
          <w:szCs w:val="36"/>
          <w:lang w:val="en-US" w:eastAsia="zh-CN" w:bidi="ar"/>
          <w14:textFill>
            <w14:solidFill>
              <w14:schemeClr w14:val="tx1"/>
            </w14:solidFill>
          </w14:textFill>
        </w:rPr>
        <w:t>以环境整治年为契机，下大力气整治阻扰施工、强卖强卖、垄断市场等问题，进一步优化“五大环境”，以“零容忍”的坚决态度，加大违法巡查力度，严厉打击“两违”行为</w:t>
      </w:r>
      <w:r>
        <w:rPr>
          <w:rFonts w:hint="eastAsia" w:ascii="仿宋_GB2312" w:hAnsi="仿宋_GB2312" w:eastAsia="仿宋_GB2312" w:cs="仿宋_GB2312"/>
          <w:color w:val="000000" w:themeColor="text1"/>
          <w:kern w:val="2"/>
          <w:sz w:val="36"/>
          <w:szCs w:val="36"/>
          <w:lang w:val="en-US" w:eastAsia="zh-CN" w:bidi="ar"/>
          <w14:textFill>
            <w14:solidFill>
              <w14:schemeClr w14:val="tx1"/>
            </w14:solidFill>
          </w14:textFill>
        </w:rPr>
        <w:t>。</w:t>
      </w:r>
      <w:r>
        <w:rPr>
          <w:rFonts w:hint="eastAsia" w:ascii="仿宋_GB2312" w:hAnsi="仿宋_GB2312" w:eastAsia="仿宋_GB2312" w:cs="仿宋_GB2312"/>
          <w:b w:val="0"/>
          <w:bCs w:val="0"/>
          <w:kern w:val="2"/>
          <w:sz w:val="36"/>
          <w:szCs w:val="36"/>
          <w:lang w:val="en-US" w:eastAsia="zh-CN" w:bidi="ar"/>
        </w:rPr>
        <w:t>常态化开展“命案攻坚年”，持续开展“千名干部进千村，矛盾风险隐患大排查”专项活动和每月15日下访接访活动，切实把矛盾纠纷化解在基层。</w:t>
      </w:r>
      <w:r>
        <w:rPr>
          <w:rFonts w:hint="eastAsia" w:ascii="仿宋_GB2312" w:hAnsi="仿宋_GB2312" w:eastAsia="仿宋_GB2312" w:cs="仿宋_GB2312"/>
          <w:b/>
          <w:bCs/>
          <w:kern w:val="2"/>
          <w:sz w:val="36"/>
          <w:szCs w:val="36"/>
          <w:lang w:val="en-US" w:eastAsia="zh-CN" w:bidi="ar"/>
        </w:rPr>
        <w:t>四是巩固全国民族团结进步模范县建设成果。</w:t>
      </w:r>
      <w:r>
        <w:rPr>
          <w:rFonts w:hint="eastAsia" w:ascii="仿宋_GB2312" w:hAnsi="仿宋_GB2312" w:eastAsia="仿宋_GB2312" w:cs="仿宋_GB2312"/>
          <w:b w:val="0"/>
          <w:bCs w:val="0"/>
          <w:kern w:val="2"/>
          <w:sz w:val="36"/>
          <w:szCs w:val="36"/>
          <w:lang w:val="en-US" w:eastAsia="zh-CN" w:bidi="ar"/>
        </w:rPr>
        <w:t>全面挖掘整理各民族交往交流交融历史文化和鲜活故事，推进11乡镇1100名群众赴周边地区参观学习，引导全县各族群众，进一步铸牢中华民族共同体意识。</w:t>
      </w:r>
      <w:r>
        <w:rPr>
          <w:rFonts w:hint="eastAsia" w:ascii="仿宋_GB2312" w:hAnsi="仿宋_GB2312" w:eastAsia="仿宋_GB2312" w:cs="仿宋_GB2312"/>
          <w:b/>
          <w:bCs/>
          <w:kern w:val="2"/>
          <w:sz w:val="36"/>
          <w:szCs w:val="36"/>
          <w:lang w:val="en-US" w:eastAsia="zh-CN" w:bidi="ar"/>
        </w:rPr>
        <w:t>五是积极融入固边兴边大局。</w:t>
      </w:r>
      <w:r>
        <w:rPr>
          <w:rFonts w:hint="eastAsia" w:ascii="仿宋_GB2312" w:hAnsi="仿宋_GB2312" w:eastAsia="仿宋_GB2312" w:cs="仿宋_GB2312"/>
          <w:b w:val="0"/>
          <w:bCs w:val="0"/>
          <w:kern w:val="2"/>
          <w:sz w:val="36"/>
          <w:szCs w:val="36"/>
          <w:lang w:val="en-US" w:eastAsia="zh-CN" w:bidi="ar"/>
        </w:rPr>
        <w:t>牢固树立“大边防”意识，争取早日打通孜托镇至波密县倾多镇战略通道，全力推进抵边搬迁摸底和实施工作。</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52" w:lineRule="exact"/>
        <w:ind w:left="0" w:leftChars="0" w:right="0" w:firstLine="723" w:firstLineChars="200"/>
        <w:jc w:val="both"/>
        <w:textAlignment w:val="auto"/>
        <w:rPr>
          <w:rFonts w:hint="eastAsia" w:ascii="楷体_GB2312" w:hAnsi="楷体_GB2312" w:eastAsia="楷体_GB2312" w:cs="楷体_GB2312"/>
          <w:b/>
          <w:bCs/>
          <w:kern w:val="2"/>
          <w:sz w:val="36"/>
          <w:szCs w:val="36"/>
          <w:lang w:val="en-US" w:eastAsia="zh-CN" w:bidi="ar"/>
        </w:rPr>
      </w:pPr>
      <w:r>
        <w:rPr>
          <w:rFonts w:hint="eastAsia" w:ascii="楷体_GB2312" w:hAnsi="楷体_GB2312" w:eastAsia="楷体_GB2312" w:cs="楷体_GB2312"/>
          <w:b/>
          <w:bCs/>
          <w:kern w:val="2"/>
          <w:sz w:val="36"/>
          <w:szCs w:val="36"/>
          <w:lang w:val="en-US" w:eastAsia="zh-CN" w:bidi="ar"/>
        </w:rPr>
        <w:t>（七）在全面深化改革开放上争先进位</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52" w:lineRule="exact"/>
        <w:ind w:left="0" w:leftChars="0" w:right="0" w:firstLine="720" w:firstLineChars="200"/>
        <w:jc w:val="both"/>
        <w:textAlignment w:val="auto"/>
        <w:rPr>
          <w:rFonts w:hint="eastAsia" w:ascii="仿宋_GB2312" w:hAnsi="仿宋_GB2312" w:eastAsia="仿宋_GB2312" w:cs="仿宋_GB2312"/>
          <w:b w:val="0"/>
          <w:bCs w:val="0"/>
          <w:kern w:val="2"/>
          <w:sz w:val="36"/>
          <w:szCs w:val="36"/>
          <w:lang w:val="en-US" w:eastAsia="zh-CN" w:bidi="ar"/>
        </w:rPr>
      </w:pPr>
      <w:r>
        <w:rPr>
          <w:rFonts w:hint="eastAsia" w:ascii="仿宋_GB2312" w:hAnsi="仿宋_GB2312" w:eastAsia="仿宋_GB2312" w:cs="仿宋_GB2312"/>
          <w:b w:val="0"/>
          <w:bCs w:val="0"/>
          <w:kern w:val="2"/>
          <w:sz w:val="36"/>
          <w:szCs w:val="36"/>
          <w:lang w:val="en-US" w:eastAsia="zh-CN" w:bidi="ar"/>
        </w:rPr>
        <w:t>必须坚持深化改革不停顿、扩大开放不止步，以全区全域开放为契机，自觉把洛隆纳入国家“一带一路”向内联通、向外开放的总体布局中。</w:t>
      </w:r>
    </w:p>
    <w:p>
      <w:pPr>
        <w:pStyle w:val="2"/>
        <w:keepNext w:val="0"/>
        <w:keepLines w:val="0"/>
        <w:pageBreakBefore w:val="0"/>
        <w:widowControl/>
        <w:kinsoku w:val="0"/>
        <w:wordWrap/>
        <w:overflowPunct/>
        <w:topLinePunct w:val="0"/>
        <w:autoSpaceDE w:val="0"/>
        <w:autoSpaceDN w:val="0"/>
        <w:bidi w:val="0"/>
        <w:adjustRightInd w:val="0"/>
        <w:snapToGrid w:val="0"/>
        <w:spacing w:after="0" w:line="552" w:lineRule="exact"/>
        <w:ind w:left="0" w:leftChars="0" w:firstLine="723" w:firstLineChars="200"/>
        <w:textAlignment w:val="baseline"/>
        <w:rPr>
          <w:rFonts w:hint="eastAsia" w:ascii="仿宋_GB2312" w:hAnsi="仿宋_GB2312" w:eastAsia="仿宋_GB2312" w:cs="仿宋_GB2312"/>
          <w:color w:val="000000" w:themeColor="text1"/>
          <w:kern w:val="2"/>
          <w:sz w:val="36"/>
          <w:szCs w:val="36"/>
          <w:lang w:val="en-US" w:eastAsia="zh-CN" w:bidi="ar"/>
          <w14:textFill>
            <w14:solidFill>
              <w14:schemeClr w14:val="tx1"/>
            </w14:solidFill>
          </w14:textFill>
        </w:rPr>
      </w:pPr>
      <w:r>
        <w:rPr>
          <w:rFonts w:hint="eastAsia" w:ascii="仿宋_GB2312" w:hAnsi="仿宋_GB2312" w:eastAsia="仿宋_GB2312" w:cs="仿宋_GB2312"/>
          <w:b/>
          <w:bCs/>
          <w:color w:val="auto"/>
          <w:kern w:val="2"/>
          <w:sz w:val="36"/>
          <w:szCs w:val="36"/>
          <w:lang w:val="en-US" w:eastAsia="zh-CN" w:bidi="ar"/>
        </w:rPr>
        <w:t>一是深化重点领域改革。</w:t>
      </w:r>
      <w:r>
        <w:rPr>
          <w:rFonts w:hint="eastAsia" w:ascii="仿宋_GB2312" w:hAnsi="仿宋_GB2312" w:eastAsia="仿宋_GB2312" w:cs="仿宋_GB2312"/>
          <w:color w:val="auto"/>
          <w:kern w:val="2"/>
          <w:sz w:val="36"/>
          <w:szCs w:val="36"/>
          <w:lang w:val="en-US" w:eastAsia="zh-CN" w:bidi="ar"/>
        </w:rPr>
        <w:t>健全资金支出奖惩激励机制，提高财政资金使用效益。深化农村承包地“三权分置”改革，引导农牧区耕地、草原经营权有序流转，探索“优质学校+薄弱学校”相结合的教研帮扶机制、持续落实县域综合医改工作。抓好国企改革改制工作</w:t>
      </w:r>
      <w:r>
        <w:rPr>
          <w:rFonts w:hint="eastAsia" w:ascii="仿宋_GB2312" w:hAnsi="仿宋_GB2312" w:eastAsia="仿宋_GB2312" w:cs="仿宋_GB2312"/>
          <w:color w:val="000000" w:themeColor="text1"/>
          <w:kern w:val="2"/>
          <w:sz w:val="36"/>
          <w:szCs w:val="36"/>
          <w:lang w:val="en-US" w:eastAsia="zh-CN" w:bidi="ar"/>
          <w14:textFill>
            <w14:solidFill>
              <w14:schemeClr w14:val="tx1"/>
            </w14:solidFill>
          </w14:textFill>
        </w:rPr>
        <w:t>，</w:t>
      </w:r>
      <w:r>
        <w:rPr>
          <w:rFonts w:hint="eastAsia" w:ascii="仿宋_GB2312" w:hAnsi="仿宋_GB2312" w:eastAsia="仿宋_GB2312" w:cs="仿宋_GB2312"/>
          <w:b w:val="0"/>
          <w:bCs w:val="0"/>
          <w:color w:val="000000" w:themeColor="text1"/>
          <w:kern w:val="2"/>
          <w:sz w:val="36"/>
          <w:szCs w:val="36"/>
          <w:lang w:val="en-US" w:eastAsia="zh-CN" w:bidi="ar"/>
          <w14:textFill>
            <w14:solidFill>
              <w14:schemeClr w14:val="tx1"/>
            </w14:solidFill>
          </w14:textFill>
        </w:rPr>
        <w:t>明确投资公司主营业务、市场定位。建立洛宗公司专业营销团队，全面提升国企市场竞争力、营收效益。</w:t>
      </w:r>
    </w:p>
    <w:p>
      <w:pPr>
        <w:pStyle w:val="2"/>
        <w:keepNext w:val="0"/>
        <w:keepLines w:val="0"/>
        <w:pageBreakBefore w:val="0"/>
        <w:widowControl/>
        <w:kinsoku w:val="0"/>
        <w:wordWrap/>
        <w:overflowPunct/>
        <w:topLinePunct w:val="0"/>
        <w:autoSpaceDE w:val="0"/>
        <w:autoSpaceDN w:val="0"/>
        <w:bidi w:val="0"/>
        <w:adjustRightInd w:val="0"/>
        <w:snapToGrid w:val="0"/>
        <w:spacing w:after="0" w:line="552" w:lineRule="exact"/>
        <w:ind w:left="0" w:leftChars="0" w:firstLine="723" w:firstLineChars="200"/>
        <w:textAlignment w:val="baseline"/>
        <w:rPr>
          <w:rFonts w:hint="eastAsia" w:ascii="仿宋_GB2312" w:hAnsi="仿宋_GB2312" w:eastAsia="仿宋_GB2312" w:cs="仿宋_GB2312"/>
          <w:color w:val="auto"/>
          <w:kern w:val="2"/>
          <w:sz w:val="36"/>
          <w:szCs w:val="36"/>
          <w:lang w:val="en-US" w:eastAsia="zh-CN" w:bidi="ar"/>
        </w:rPr>
      </w:pPr>
      <w:r>
        <w:rPr>
          <w:rFonts w:hint="eastAsia" w:ascii="仿宋_GB2312" w:hAnsi="仿宋_GB2312" w:eastAsia="仿宋_GB2312" w:cs="仿宋_GB2312"/>
          <w:b/>
          <w:bCs/>
          <w:color w:val="auto"/>
          <w:kern w:val="2"/>
          <w:sz w:val="36"/>
          <w:szCs w:val="36"/>
          <w:lang w:val="en-US" w:eastAsia="zh-CN" w:bidi="ar"/>
        </w:rPr>
        <w:t>二是扩大对内对外开放。</w:t>
      </w:r>
      <w:r>
        <w:rPr>
          <w:rFonts w:hint="eastAsia" w:ascii="仿宋_GB2312" w:hAnsi="仿宋_GB2312" w:eastAsia="仿宋_GB2312" w:cs="仿宋_GB2312"/>
          <w:color w:val="auto"/>
          <w:kern w:val="2"/>
          <w:sz w:val="36"/>
          <w:szCs w:val="36"/>
          <w:lang w:val="en-US" w:eastAsia="zh-CN" w:bidi="ar"/>
        </w:rPr>
        <w:t>把握自治区推动西藏73个县高水平开放的历史机遇，统筹好开放和安全、管理和服务、整体推进和重点突破的关系，稳步推动全域开放，利用茶马古道申遗契机，精心包装推介洛隆。积极借助藏博会、西洽会等平台，不断拓展洛隆产品销售市场。深入推进产业“组团式”援藏，探索完善“成本共担、利益共享、政策互惠”发展机制，积极发展“飞地经济”。</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52" w:lineRule="exact"/>
        <w:ind w:left="0" w:leftChars="0" w:right="0" w:rightChars="0" w:firstLine="723" w:firstLineChars="200"/>
        <w:jc w:val="both"/>
        <w:textAlignment w:val="auto"/>
        <w:rPr>
          <w:rFonts w:hint="eastAsia" w:ascii="楷体_GB2312" w:hAnsi="楷体_GB2312" w:eastAsia="楷体_GB2312" w:cs="楷体_GB2312"/>
          <w:b/>
          <w:bCs/>
          <w:kern w:val="2"/>
          <w:sz w:val="36"/>
          <w:szCs w:val="36"/>
          <w:lang w:val="en-US" w:eastAsia="zh-CN" w:bidi="ar"/>
        </w:rPr>
      </w:pPr>
      <w:r>
        <w:rPr>
          <w:rFonts w:hint="eastAsia" w:ascii="楷体_GB2312" w:hAnsi="楷体_GB2312" w:eastAsia="楷体_GB2312" w:cs="楷体_GB2312"/>
          <w:b/>
          <w:bCs/>
          <w:kern w:val="2"/>
          <w:sz w:val="36"/>
          <w:szCs w:val="36"/>
          <w:lang w:val="en-US" w:eastAsia="zh-CN" w:bidi="ar"/>
        </w:rPr>
        <w:t>（八）在拓展援藏领域上争先进位</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52" w:lineRule="exact"/>
        <w:ind w:left="0" w:leftChars="0" w:right="0" w:rightChars="0" w:firstLine="720" w:firstLineChars="200"/>
        <w:jc w:val="both"/>
        <w:textAlignment w:val="auto"/>
        <w:rPr>
          <w:rFonts w:hint="eastAsia"/>
          <w:sz w:val="36"/>
          <w:szCs w:val="36"/>
          <w:lang w:val="en-US" w:eastAsia="zh-CN"/>
        </w:rPr>
      </w:pPr>
      <w:r>
        <w:rPr>
          <w:rFonts w:hint="eastAsia" w:ascii="仿宋_GB2312" w:hAnsi="仿宋_GB2312" w:eastAsia="仿宋_GB2312" w:cs="仿宋_GB2312"/>
          <w:b w:val="0"/>
          <w:bCs w:val="0"/>
          <w:kern w:val="2"/>
          <w:sz w:val="36"/>
          <w:szCs w:val="36"/>
          <w:lang w:val="en-US" w:eastAsia="zh-CN" w:bidi="ar"/>
        </w:rPr>
        <w:t>找准对接合作切入点，充分发挥双方比较优势，务实拓展合作领域，推动援藏工作高质量发展。</w:t>
      </w:r>
      <w:r>
        <w:rPr>
          <w:rFonts w:hint="eastAsia" w:ascii="仿宋_GB2312" w:hAnsi="仿宋_GB2312" w:eastAsia="仿宋_GB2312" w:cs="仿宋_GB2312"/>
          <w:b/>
          <w:bCs/>
          <w:kern w:val="2"/>
          <w:sz w:val="36"/>
          <w:szCs w:val="36"/>
          <w:lang w:val="en-US" w:eastAsia="zh-CN" w:bidi="ar"/>
        </w:rPr>
        <w:t>一是</w:t>
      </w:r>
      <w:r>
        <w:rPr>
          <w:rFonts w:hint="eastAsia" w:ascii="仿宋_GB2312" w:hAnsi="仿宋_GB2312" w:eastAsia="仿宋_GB2312" w:cs="仿宋_GB2312"/>
          <w:b w:val="0"/>
          <w:bCs w:val="0"/>
          <w:kern w:val="2"/>
          <w:sz w:val="36"/>
          <w:szCs w:val="36"/>
          <w:lang w:val="en-US" w:eastAsia="zh-CN" w:bidi="ar"/>
        </w:rPr>
        <w:t>完善好对口援助机制，加强人才交流、资金项目投入。</w:t>
      </w:r>
      <w:r>
        <w:rPr>
          <w:rFonts w:hint="eastAsia" w:ascii="仿宋_GB2312" w:hAnsi="仿宋_GB2312" w:eastAsia="仿宋_GB2312" w:cs="仿宋_GB2312"/>
          <w:b/>
          <w:bCs/>
          <w:kern w:val="2"/>
          <w:sz w:val="36"/>
          <w:szCs w:val="36"/>
          <w:lang w:val="en-US" w:eastAsia="zh-CN" w:bidi="ar"/>
        </w:rPr>
        <w:t>二是</w:t>
      </w:r>
      <w:r>
        <w:rPr>
          <w:rFonts w:hint="eastAsia" w:ascii="仿宋_GB2312" w:hAnsi="仿宋_GB2312" w:eastAsia="仿宋_GB2312" w:cs="仿宋_GB2312"/>
          <w:b w:val="0"/>
          <w:bCs w:val="0"/>
          <w:kern w:val="2"/>
          <w:sz w:val="36"/>
          <w:szCs w:val="36"/>
          <w:lang w:val="en-US" w:eastAsia="zh-CN" w:bidi="ar"/>
        </w:rPr>
        <w:t>深化文旅合作，打造高品质文旅品牌。</w:t>
      </w:r>
      <w:r>
        <w:rPr>
          <w:rFonts w:hint="eastAsia" w:ascii="仿宋_GB2312" w:hAnsi="仿宋_GB2312" w:eastAsia="仿宋_GB2312" w:cs="仿宋_GB2312"/>
          <w:b/>
          <w:bCs/>
          <w:kern w:val="2"/>
          <w:sz w:val="36"/>
          <w:szCs w:val="36"/>
          <w:lang w:val="en-US" w:eastAsia="zh-CN" w:bidi="ar"/>
        </w:rPr>
        <w:t>三是</w:t>
      </w:r>
      <w:r>
        <w:rPr>
          <w:rFonts w:hint="eastAsia" w:ascii="仿宋_GB2312" w:hAnsi="仿宋_GB2312" w:eastAsia="仿宋_GB2312" w:cs="仿宋_GB2312"/>
          <w:b w:val="0"/>
          <w:bCs w:val="0"/>
          <w:kern w:val="2"/>
          <w:sz w:val="36"/>
          <w:szCs w:val="36"/>
          <w:lang w:val="en-US" w:eastAsia="zh-CN" w:bidi="ar"/>
        </w:rPr>
        <w:t>有针对性地开发一些就业岗位，推动援洛省市和企业等招聘洛隆籍大学生，促进就业援藏。</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52" w:lineRule="exact"/>
        <w:ind w:left="0" w:leftChars="0" w:right="0" w:rightChars="0" w:firstLine="723" w:firstLineChars="200"/>
        <w:jc w:val="both"/>
        <w:textAlignment w:val="auto"/>
        <w:rPr>
          <w:rFonts w:hint="eastAsia" w:ascii="楷体_GB2312" w:hAnsi="楷体_GB2312" w:eastAsia="楷体_GB2312" w:cs="楷体_GB2312"/>
          <w:b/>
          <w:bCs/>
          <w:kern w:val="2"/>
          <w:sz w:val="36"/>
          <w:szCs w:val="36"/>
          <w:lang w:val="en-US" w:eastAsia="zh-CN" w:bidi="ar"/>
        </w:rPr>
      </w:pPr>
      <w:r>
        <w:rPr>
          <w:rFonts w:hint="eastAsia" w:ascii="楷体_GB2312" w:hAnsi="楷体_GB2312" w:eastAsia="楷体_GB2312" w:cs="楷体_GB2312"/>
          <w:b/>
          <w:bCs/>
          <w:kern w:val="2"/>
          <w:sz w:val="36"/>
          <w:szCs w:val="36"/>
          <w:lang w:val="en-US" w:eastAsia="zh-CN" w:bidi="ar"/>
        </w:rPr>
        <w:t>（九）在加强政府自身建设上争先进位</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52" w:lineRule="exact"/>
        <w:ind w:left="0" w:leftChars="0" w:right="0" w:rightChars="0" w:firstLine="720" w:firstLineChars="200"/>
        <w:jc w:val="both"/>
        <w:textAlignment w:val="auto"/>
        <w:rPr>
          <w:rFonts w:hint="eastAsia" w:ascii="仿宋_GB2312" w:hAnsi="仿宋_GB2312" w:eastAsia="仿宋_GB2312" w:cs="仿宋_GB2312"/>
          <w:kern w:val="2"/>
          <w:sz w:val="36"/>
          <w:szCs w:val="36"/>
          <w:lang w:val="en-US" w:eastAsia="zh-CN" w:bidi="ar"/>
        </w:rPr>
      </w:pPr>
      <w:r>
        <w:rPr>
          <w:rFonts w:hint="eastAsia" w:ascii="仿宋_GB2312" w:hAnsi="仿宋_GB2312" w:eastAsia="仿宋_GB2312" w:cs="仿宋_GB2312"/>
          <w:kern w:val="2"/>
          <w:sz w:val="36"/>
          <w:szCs w:val="36"/>
          <w:lang w:val="en-US" w:eastAsia="zh-CN" w:bidi="ar"/>
        </w:rPr>
        <w:t>聚焦“党建巩固年”“作风深化年”活动，深入贯彻新时代全面从严治党要求，严格遵守中央八项规定精神及其实施细则，做到原则面前不让步，利益面前不伸手，诱惑面前不动心。树牢政府过“紧日子”的思想，强化财政收支管理，把有限的财力用在推动发展、改善民生上来。深化清廉政府建设，狠抓政府采购、工程招投标等重点领域廉政风险防控，持续推进政府系统党风廉政建设和反腐败斗争，永葆务实清廉的政治本色。深入推进法治政府建设，积极回应社会关切，主动接受人大、政协、纪委监委、社会舆论、网络媒体的监督，始终让权力在阳光下运行。提升政府服务能力，不断增强洛隆群众获得感、幸福感、安全感。</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52" w:lineRule="exact"/>
        <w:ind w:left="0" w:leftChars="0" w:right="0" w:firstLine="723" w:firstLineChars="200"/>
        <w:jc w:val="both"/>
        <w:textAlignment w:val="auto"/>
        <w:rPr>
          <w:rFonts w:hint="eastAsia" w:ascii="仿宋_GB2312" w:hAnsi="仿宋_GB2312" w:eastAsia="仿宋_GB2312" w:cs="仿宋_GB2312"/>
          <w:b w:val="0"/>
          <w:bCs w:val="0"/>
          <w:kern w:val="2"/>
          <w:sz w:val="36"/>
          <w:szCs w:val="36"/>
          <w:lang w:val="en-US" w:eastAsia="zh-CN" w:bidi="ar"/>
        </w:rPr>
      </w:pPr>
      <w:r>
        <w:rPr>
          <w:rFonts w:hint="eastAsia" w:ascii="仿宋_GB2312" w:hAnsi="仿宋_GB2312" w:eastAsia="仿宋_GB2312" w:cs="仿宋_GB2312"/>
          <w:b/>
          <w:bCs/>
          <w:kern w:val="2"/>
          <w:sz w:val="36"/>
          <w:szCs w:val="36"/>
          <w:lang w:val="en-US" w:eastAsia="zh-CN" w:bidi="ar"/>
        </w:rPr>
        <w:t>各位代表！</w:t>
      </w:r>
      <w:r>
        <w:rPr>
          <w:rFonts w:hint="eastAsia" w:ascii="仿宋_GB2312" w:hAnsi="仿宋_GB2312" w:eastAsia="仿宋_GB2312" w:cs="仿宋_GB2312"/>
          <w:b w:val="0"/>
          <w:bCs w:val="0"/>
          <w:kern w:val="2"/>
          <w:sz w:val="36"/>
          <w:szCs w:val="36"/>
          <w:lang w:val="en-US" w:eastAsia="zh-CN" w:bidi="ar"/>
        </w:rPr>
        <w:t>我们将持续巩固拓展深化主题教育成果，把“当下改”与“长久立”相结合，使办实事、解民忧成为广大党员干部的价值取向和行动自觉，增强办好惠民实事的内生动力。以更高的政治自觉、更实的担当作为、更好的纪律作风，实现高效能履职、高质量服务，把群众的“烦心事”办成“暖心事”，以政府过“紧日子”换取人民群众的“好日子”。</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52" w:lineRule="exact"/>
        <w:ind w:left="0" w:leftChars="0" w:right="0" w:firstLine="723" w:firstLineChars="200"/>
        <w:jc w:val="both"/>
        <w:textAlignment w:val="auto"/>
        <w:rPr>
          <w:rFonts w:hint="eastAsia"/>
          <w:lang w:val="en-US" w:eastAsia="zh-CN"/>
        </w:rPr>
      </w:pPr>
      <w:r>
        <w:rPr>
          <w:rFonts w:hint="eastAsia" w:ascii="仿宋_GB2312" w:hAnsi="仿宋_GB2312" w:eastAsia="仿宋_GB2312" w:cs="仿宋_GB2312"/>
          <w:b/>
          <w:bCs/>
          <w:kern w:val="2"/>
          <w:sz w:val="36"/>
          <w:szCs w:val="36"/>
          <w:lang w:val="en-US" w:eastAsia="zh-CN" w:bidi="ar"/>
        </w:rPr>
        <w:t>各位代表!</w:t>
      </w:r>
      <w:r>
        <w:rPr>
          <w:rFonts w:hint="eastAsia" w:ascii="仿宋_GB2312" w:hAnsi="仿宋_GB2312" w:eastAsia="仿宋_GB2312" w:cs="仿宋_GB2312"/>
          <w:kern w:val="2"/>
          <w:sz w:val="36"/>
          <w:szCs w:val="36"/>
          <w:lang w:val="en-US" w:eastAsia="zh-CN" w:bidi="ar"/>
        </w:rPr>
        <w:t>新的征程已经开启，让我们更加紧密地团结在以习近平同志为核心的党中央周围，在区党委政府、市委市政府和县委的正确领导下，在县人大、政协的监督支持下，咬定目标、真抓实干，奋力谱写洛隆长治久安和高质量发展新篇章！</w:t>
      </w:r>
    </w:p>
    <w:sectPr>
      <w:footerReference r:id="rId3" w:type="default"/>
      <w:footerReference r:id="rId4" w:type="even"/>
      <w:pgSz w:w="11906" w:h="16838"/>
      <w:pgMar w:top="2098" w:right="1474" w:bottom="1984" w:left="1587" w:header="851"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0000600000000000000"/>
    <w:charset w:val="86"/>
    <w:family w:val="auto"/>
    <w:pitch w:val="default"/>
    <w:sig w:usb0="800002BF" w:usb1="184F6CF8" w:usb2="00000012" w:usb3="00000000" w:csb0="00160001" w:csb1="1203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7C8DF2"/>
    <w:multiLevelType w:val="multilevel"/>
    <w:tmpl w:val="047C8DF2"/>
    <w:lvl w:ilvl="0" w:tentative="0">
      <w:start w:val="1"/>
      <w:numFmt w:val="chineseCounting"/>
      <w:suff w:val="nothing"/>
      <w:lvlText w:val="（%1）"/>
      <w:lvlJc w:val="left"/>
      <w:rPr>
        <w:rFonts w:hint="eastAsia"/>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documentProtection w:enforcement="0"/>
  <w:defaultTabStop w:val="420"/>
  <w:evenAndOddHeaders w:val="1"/>
  <w:drawingGridHorizontalSpacing w:val="158"/>
  <w:drawingGridVerticalSpacing w:val="290"/>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3NzljNDBhNjc0M2RkYzIzZjg0YThkMGFjODllNTYifQ=="/>
  </w:docVars>
  <w:rsids>
    <w:rsidRoot w:val="00172A27"/>
    <w:rsid w:val="00076886"/>
    <w:rsid w:val="0013411C"/>
    <w:rsid w:val="00166D02"/>
    <w:rsid w:val="00292BAB"/>
    <w:rsid w:val="00D24FF0"/>
    <w:rsid w:val="00D55A92"/>
    <w:rsid w:val="00E74694"/>
    <w:rsid w:val="00FF5050"/>
    <w:rsid w:val="01645D18"/>
    <w:rsid w:val="01C77D2E"/>
    <w:rsid w:val="02514C1D"/>
    <w:rsid w:val="02597BE5"/>
    <w:rsid w:val="02631B90"/>
    <w:rsid w:val="0264335E"/>
    <w:rsid w:val="028458B4"/>
    <w:rsid w:val="02B726F0"/>
    <w:rsid w:val="02D50003"/>
    <w:rsid w:val="03BF70D2"/>
    <w:rsid w:val="0408226F"/>
    <w:rsid w:val="04293179"/>
    <w:rsid w:val="04CD628A"/>
    <w:rsid w:val="04E978D1"/>
    <w:rsid w:val="056F72B2"/>
    <w:rsid w:val="05A536B6"/>
    <w:rsid w:val="05C27DC7"/>
    <w:rsid w:val="061D40F5"/>
    <w:rsid w:val="061F3C97"/>
    <w:rsid w:val="06C51C89"/>
    <w:rsid w:val="06EC6FA5"/>
    <w:rsid w:val="077C310F"/>
    <w:rsid w:val="07972AF0"/>
    <w:rsid w:val="08290BEF"/>
    <w:rsid w:val="084F3BEC"/>
    <w:rsid w:val="08A94889"/>
    <w:rsid w:val="08CF1BA3"/>
    <w:rsid w:val="093E5C6E"/>
    <w:rsid w:val="09CE30E7"/>
    <w:rsid w:val="09E54636"/>
    <w:rsid w:val="09EF6C13"/>
    <w:rsid w:val="0A2607EE"/>
    <w:rsid w:val="0A342878"/>
    <w:rsid w:val="0A583896"/>
    <w:rsid w:val="0AD64767"/>
    <w:rsid w:val="0AE207A2"/>
    <w:rsid w:val="0B6560EB"/>
    <w:rsid w:val="0BC02C20"/>
    <w:rsid w:val="0C153EEB"/>
    <w:rsid w:val="0C234952"/>
    <w:rsid w:val="0C6F3656"/>
    <w:rsid w:val="0C734E8D"/>
    <w:rsid w:val="0C874EE1"/>
    <w:rsid w:val="0CA2078F"/>
    <w:rsid w:val="0D486352"/>
    <w:rsid w:val="0D770C73"/>
    <w:rsid w:val="0D8B0A01"/>
    <w:rsid w:val="0DFC11BE"/>
    <w:rsid w:val="0DFE522F"/>
    <w:rsid w:val="0EA2541C"/>
    <w:rsid w:val="0EC175C4"/>
    <w:rsid w:val="0ED624A7"/>
    <w:rsid w:val="0EDD34DE"/>
    <w:rsid w:val="0F0E47FE"/>
    <w:rsid w:val="0FB71F81"/>
    <w:rsid w:val="0FF02D9D"/>
    <w:rsid w:val="0FF44C07"/>
    <w:rsid w:val="11602875"/>
    <w:rsid w:val="11972D06"/>
    <w:rsid w:val="11B25351"/>
    <w:rsid w:val="11D80D88"/>
    <w:rsid w:val="12362414"/>
    <w:rsid w:val="1251477F"/>
    <w:rsid w:val="125A20BB"/>
    <w:rsid w:val="12C1716C"/>
    <w:rsid w:val="12DC21B4"/>
    <w:rsid w:val="131F6C1D"/>
    <w:rsid w:val="138C13DD"/>
    <w:rsid w:val="139F03F6"/>
    <w:rsid w:val="13E858DC"/>
    <w:rsid w:val="14711D50"/>
    <w:rsid w:val="14DF197B"/>
    <w:rsid w:val="14FF6959"/>
    <w:rsid w:val="15146C09"/>
    <w:rsid w:val="15282FD9"/>
    <w:rsid w:val="15304300"/>
    <w:rsid w:val="154E4E4D"/>
    <w:rsid w:val="15960C27"/>
    <w:rsid w:val="159B7C4F"/>
    <w:rsid w:val="15A8039B"/>
    <w:rsid w:val="161A2ABE"/>
    <w:rsid w:val="162A0D33"/>
    <w:rsid w:val="16990354"/>
    <w:rsid w:val="169A49A3"/>
    <w:rsid w:val="169F551D"/>
    <w:rsid w:val="16A305AF"/>
    <w:rsid w:val="16C723E0"/>
    <w:rsid w:val="17460295"/>
    <w:rsid w:val="181B5AE2"/>
    <w:rsid w:val="18575DED"/>
    <w:rsid w:val="1881137E"/>
    <w:rsid w:val="188E16EE"/>
    <w:rsid w:val="18A46E1B"/>
    <w:rsid w:val="18A92683"/>
    <w:rsid w:val="18C1049C"/>
    <w:rsid w:val="18DB178F"/>
    <w:rsid w:val="195E6F57"/>
    <w:rsid w:val="19C57049"/>
    <w:rsid w:val="19F404D3"/>
    <w:rsid w:val="1A8E4A80"/>
    <w:rsid w:val="1A8F040E"/>
    <w:rsid w:val="1AB1581F"/>
    <w:rsid w:val="1AE01C25"/>
    <w:rsid w:val="1AEB78AF"/>
    <w:rsid w:val="1B3D3C08"/>
    <w:rsid w:val="1B670A25"/>
    <w:rsid w:val="1B6C7C2F"/>
    <w:rsid w:val="1C017B78"/>
    <w:rsid w:val="1C1E0C92"/>
    <w:rsid w:val="1C22234B"/>
    <w:rsid w:val="1C224C26"/>
    <w:rsid w:val="1C3237A0"/>
    <w:rsid w:val="1C572A5D"/>
    <w:rsid w:val="1C675CE4"/>
    <w:rsid w:val="1C8535B3"/>
    <w:rsid w:val="1C871B10"/>
    <w:rsid w:val="1C9363BF"/>
    <w:rsid w:val="1CA05B4B"/>
    <w:rsid w:val="1CBD5B79"/>
    <w:rsid w:val="1CE67A02"/>
    <w:rsid w:val="1CEE10D9"/>
    <w:rsid w:val="1D152095"/>
    <w:rsid w:val="1D4506C3"/>
    <w:rsid w:val="1DE55F0B"/>
    <w:rsid w:val="1E211085"/>
    <w:rsid w:val="1E50747A"/>
    <w:rsid w:val="1E69422B"/>
    <w:rsid w:val="1E7D1E03"/>
    <w:rsid w:val="1E9D4307"/>
    <w:rsid w:val="1F4924CA"/>
    <w:rsid w:val="1F5F1E04"/>
    <w:rsid w:val="1F99255E"/>
    <w:rsid w:val="200C7BFB"/>
    <w:rsid w:val="201F6892"/>
    <w:rsid w:val="207C5ECE"/>
    <w:rsid w:val="208512E0"/>
    <w:rsid w:val="20983C50"/>
    <w:rsid w:val="20B10327"/>
    <w:rsid w:val="20CF0BAF"/>
    <w:rsid w:val="20D85AEA"/>
    <w:rsid w:val="21007E38"/>
    <w:rsid w:val="2149055F"/>
    <w:rsid w:val="215A09BE"/>
    <w:rsid w:val="21C8031E"/>
    <w:rsid w:val="21C8053E"/>
    <w:rsid w:val="21E012F7"/>
    <w:rsid w:val="220C7DDA"/>
    <w:rsid w:val="221022B3"/>
    <w:rsid w:val="221C4470"/>
    <w:rsid w:val="22425C46"/>
    <w:rsid w:val="226409A6"/>
    <w:rsid w:val="22CC06DF"/>
    <w:rsid w:val="23581F14"/>
    <w:rsid w:val="23674EF0"/>
    <w:rsid w:val="23D81888"/>
    <w:rsid w:val="23EF1892"/>
    <w:rsid w:val="240835BE"/>
    <w:rsid w:val="240B09EA"/>
    <w:rsid w:val="24295F23"/>
    <w:rsid w:val="24C20D54"/>
    <w:rsid w:val="24E074A2"/>
    <w:rsid w:val="24F01DD3"/>
    <w:rsid w:val="2589216E"/>
    <w:rsid w:val="25A62FB3"/>
    <w:rsid w:val="263D67D5"/>
    <w:rsid w:val="26573D2D"/>
    <w:rsid w:val="26614AEC"/>
    <w:rsid w:val="26A95C38"/>
    <w:rsid w:val="26D616DC"/>
    <w:rsid w:val="26F83C3A"/>
    <w:rsid w:val="27324E1A"/>
    <w:rsid w:val="274853B4"/>
    <w:rsid w:val="2751016E"/>
    <w:rsid w:val="277D2693"/>
    <w:rsid w:val="279F35CF"/>
    <w:rsid w:val="27B9175F"/>
    <w:rsid w:val="28136D52"/>
    <w:rsid w:val="289947F7"/>
    <w:rsid w:val="289A6FFE"/>
    <w:rsid w:val="28DE3A41"/>
    <w:rsid w:val="291C5BFE"/>
    <w:rsid w:val="291E1EDD"/>
    <w:rsid w:val="293D309F"/>
    <w:rsid w:val="294E4391"/>
    <w:rsid w:val="29B5267B"/>
    <w:rsid w:val="29DD3275"/>
    <w:rsid w:val="2A7611A7"/>
    <w:rsid w:val="2A88034A"/>
    <w:rsid w:val="2AA11728"/>
    <w:rsid w:val="2AD10FC0"/>
    <w:rsid w:val="2B310042"/>
    <w:rsid w:val="2B3968DC"/>
    <w:rsid w:val="2B442647"/>
    <w:rsid w:val="2B527943"/>
    <w:rsid w:val="2BF258B5"/>
    <w:rsid w:val="2C1D2594"/>
    <w:rsid w:val="2C2116E0"/>
    <w:rsid w:val="2D49642B"/>
    <w:rsid w:val="2DB33430"/>
    <w:rsid w:val="2DFA4EA8"/>
    <w:rsid w:val="2E2114E4"/>
    <w:rsid w:val="2E276764"/>
    <w:rsid w:val="2E300C02"/>
    <w:rsid w:val="2E355EAF"/>
    <w:rsid w:val="2E422F06"/>
    <w:rsid w:val="2E532A1D"/>
    <w:rsid w:val="2E570EAC"/>
    <w:rsid w:val="2EA74B17"/>
    <w:rsid w:val="2EB72FAC"/>
    <w:rsid w:val="2EF11282"/>
    <w:rsid w:val="2EF72CDD"/>
    <w:rsid w:val="2F025B25"/>
    <w:rsid w:val="2F1A51E3"/>
    <w:rsid w:val="2F67040E"/>
    <w:rsid w:val="2FA853C2"/>
    <w:rsid w:val="2FC86B1E"/>
    <w:rsid w:val="2FE2558D"/>
    <w:rsid w:val="30204C39"/>
    <w:rsid w:val="30465E04"/>
    <w:rsid w:val="309C70AC"/>
    <w:rsid w:val="30DE29C7"/>
    <w:rsid w:val="30F57DBC"/>
    <w:rsid w:val="30F966D7"/>
    <w:rsid w:val="31117F14"/>
    <w:rsid w:val="312D2A2C"/>
    <w:rsid w:val="315A40C3"/>
    <w:rsid w:val="31964C9C"/>
    <w:rsid w:val="31AB491E"/>
    <w:rsid w:val="31C97C29"/>
    <w:rsid w:val="31D562B6"/>
    <w:rsid w:val="31EA1D5D"/>
    <w:rsid w:val="32177EBA"/>
    <w:rsid w:val="325705BB"/>
    <w:rsid w:val="32612263"/>
    <w:rsid w:val="332F1A11"/>
    <w:rsid w:val="33381908"/>
    <w:rsid w:val="33D16615"/>
    <w:rsid w:val="340648C6"/>
    <w:rsid w:val="34316D07"/>
    <w:rsid w:val="347023DD"/>
    <w:rsid w:val="35335368"/>
    <w:rsid w:val="35636230"/>
    <w:rsid w:val="35674686"/>
    <w:rsid w:val="35DF207B"/>
    <w:rsid w:val="35EC1A48"/>
    <w:rsid w:val="35F35531"/>
    <w:rsid w:val="36341386"/>
    <w:rsid w:val="36624145"/>
    <w:rsid w:val="36B57AC6"/>
    <w:rsid w:val="36E25824"/>
    <w:rsid w:val="374970E3"/>
    <w:rsid w:val="379E73FF"/>
    <w:rsid w:val="37A36ADA"/>
    <w:rsid w:val="380A05F1"/>
    <w:rsid w:val="385D6D11"/>
    <w:rsid w:val="38916A45"/>
    <w:rsid w:val="38FE250E"/>
    <w:rsid w:val="390F0648"/>
    <w:rsid w:val="395576E0"/>
    <w:rsid w:val="395A52DC"/>
    <w:rsid w:val="39644270"/>
    <w:rsid w:val="39BF365D"/>
    <w:rsid w:val="39FE23D7"/>
    <w:rsid w:val="3A523B82"/>
    <w:rsid w:val="3A5701E0"/>
    <w:rsid w:val="3AB14CEA"/>
    <w:rsid w:val="3AF6027A"/>
    <w:rsid w:val="3B21784E"/>
    <w:rsid w:val="3B2F04F9"/>
    <w:rsid w:val="3B8554FE"/>
    <w:rsid w:val="3B9155E9"/>
    <w:rsid w:val="3BBA7EF5"/>
    <w:rsid w:val="3BC102BC"/>
    <w:rsid w:val="3C3E6A3D"/>
    <w:rsid w:val="3C853451"/>
    <w:rsid w:val="3CC35212"/>
    <w:rsid w:val="3D2F04F7"/>
    <w:rsid w:val="3D78424E"/>
    <w:rsid w:val="3D7F1D22"/>
    <w:rsid w:val="3DD551FD"/>
    <w:rsid w:val="3DF31B27"/>
    <w:rsid w:val="3DF34958"/>
    <w:rsid w:val="3E6C11C1"/>
    <w:rsid w:val="3F937557"/>
    <w:rsid w:val="3F994770"/>
    <w:rsid w:val="3FAD7450"/>
    <w:rsid w:val="40527ED7"/>
    <w:rsid w:val="4057396B"/>
    <w:rsid w:val="40AB27D1"/>
    <w:rsid w:val="40C80BF1"/>
    <w:rsid w:val="420C275F"/>
    <w:rsid w:val="42731488"/>
    <w:rsid w:val="42B011E1"/>
    <w:rsid w:val="42DD6D85"/>
    <w:rsid w:val="43087E22"/>
    <w:rsid w:val="430F2F5F"/>
    <w:rsid w:val="431D4520"/>
    <w:rsid w:val="433B01F8"/>
    <w:rsid w:val="436235D0"/>
    <w:rsid w:val="437152C3"/>
    <w:rsid w:val="44347309"/>
    <w:rsid w:val="44AA27B1"/>
    <w:rsid w:val="45222085"/>
    <w:rsid w:val="453942C3"/>
    <w:rsid w:val="454859C3"/>
    <w:rsid w:val="457862FA"/>
    <w:rsid w:val="45C46D8B"/>
    <w:rsid w:val="4603636C"/>
    <w:rsid w:val="461A3F5E"/>
    <w:rsid w:val="468E22A5"/>
    <w:rsid w:val="46C87FF5"/>
    <w:rsid w:val="46E44703"/>
    <w:rsid w:val="472C7EB4"/>
    <w:rsid w:val="47482EE3"/>
    <w:rsid w:val="47B21FD0"/>
    <w:rsid w:val="47DE79FD"/>
    <w:rsid w:val="482215FF"/>
    <w:rsid w:val="487E154D"/>
    <w:rsid w:val="48D35EC5"/>
    <w:rsid w:val="490B1212"/>
    <w:rsid w:val="495D7B3E"/>
    <w:rsid w:val="498E3479"/>
    <w:rsid w:val="4993337F"/>
    <w:rsid w:val="49DD0045"/>
    <w:rsid w:val="49F226D7"/>
    <w:rsid w:val="4A020FC8"/>
    <w:rsid w:val="4A1D1AA2"/>
    <w:rsid w:val="4A1E617D"/>
    <w:rsid w:val="4A280725"/>
    <w:rsid w:val="4AA91927"/>
    <w:rsid w:val="4AC26B09"/>
    <w:rsid w:val="4AEE2784"/>
    <w:rsid w:val="4B72052F"/>
    <w:rsid w:val="4B9535D0"/>
    <w:rsid w:val="4BA426B2"/>
    <w:rsid w:val="4BCD7E5B"/>
    <w:rsid w:val="4BCF13C5"/>
    <w:rsid w:val="4C3152EB"/>
    <w:rsid w:val="4C316956"/>
    <w:rsid w:val="4C8F5111"/>
    <w:rsid w:val="4D2F0C57"/>
    <w:rsid w:val="4D325BF1"/>
    <w:rsid w:val="4DBB5387"/>
    <w:rsid w:val="4DBF1A26"/>
    <w:rsid w:val="4E015FC1"/>
    <w:rsid w:val="4E3103FF"/>
    <w:rsid w:val="4E5267F2"/>
    <w:rsid w:val="4EBD3C00"/>
    <w:rsid w:val="4F7B7EA2"/>
    <w:rsid w:val="5035069D"/>
    <w:rsid w:val="50A7118C"/>
    <w:rsid w:val="50AA2370"/>
    <w:rsid w:val="50FF2F73"/>
    <w:rsid w:val="51217D0C"/>
    <w:rsid w:val="513E700B"/>
    <w:rsid w:val="51B34E2D"/>
    <w:rsid w:val="51FB47A7"/>
    <w:rsid w:val="51FD2B1C"/>
    <w:rsid w:val="520420FD"/>
    <w:rsid w:val="522514EA"/>
    <w:rsid w:val="523448BA"/>
    <w:rsid w:val="53166550"/>
    <w:rsid w:val="543D6A71"/>
    <w:rsid w:val="550D3076"/>
    <w:rsid w:val="5528196E"/>
    <w:rsid w:val="553633E9"/>
    <w:rsid w:val="55864C6E"/>
    <w:rsid w:val="55F84CE8"/>
    <w:rsid w:val="565434E1"/>
    <w:rsid w:val="56552B0E"/>
    <w:rsid w:val="56676E49"/>
    <w:rsid w:val="568E01E7"/>
    <w:rsid w:val="56B37C4E"/>
    <w:rsid w:val="56C87BA2"/>
    <w:rsid w:val="56CB31E9"/>
    <w:rsid w:val="57303B16"/>
    <w:rsid w:val="573C6D5E"/>
    <w:rsid w:val="575651A9"/>
    <w:rsid w:val="57B12C37"/>
    <w:rsid w:val="580205AA"/>
    <w:rsid w:val="58417C07"/>
    <w:rsid w:val="5855720E"/>
    <w:rsid w:val="58797806"/>
    <w:rsid w:val="58C46142"/>
    <w:rsid w:val="58E95599"/>
    <w:rsid w:val="58FF55B7"/>
    <w:rsid w:val="59205A6E"/>
    <w:rsid w:val="59675FE4"/>
    <w:rsid w:val="59A5064F"/>
    <w:rsid w:val="59B66747"/>
    <w:rsid w:val="5A1F663A"/>
    <w:rsid w:val="5A325957"/>
    <w:rsid w:val="5A3F5302"/>
    <w:rsid w:val="5A5B632C"/>
    <w:rsid w:val="5A61348C"/>
    <w:rsid w:val="5A980B5F"/>
    <w:rsid w:val="5AC468CD"/>
    <w:rsid w:val="5ACB1A0A"/>
    <w:rsid w:val="5ACE7864"/>
    <w:rsid w:val="5AF45B3D"/>
    <w:rsid w:val="5B09619C"/>
    <w:rsid w:val="5B5A4B3C"/>
    <w:rsid w:val="5BA17897"/>
    <w:rsid w:val="5BAB4928"/>
    <w:rsid w:val="5BC56459"/>
    <w:rsid w:val="5BE72F2F"/>
    <w:rsid w:val="5BEE38BA"/>
    <w:rsid w:val="5BF51F70"/>
    <w:rsid w:val="5CFD114F"/>
    <w:rsid w:val="5D1551BE"/>
    <w:rsid w:val="5D3C6A66"/>
    <w:rsid w:val="5DA90C78"/>
    <w:rsid w:val="5E1A5B0E"/>
    <w:rsid w:val="5E8D5BA3"/>
    <w:rsid w:val="5F04361A"/>
    <w:rsid w:val="5F1D3DFE"/>
    <w:rsid w:val="5F6909BC"/>
    <w:rsid w:val="5FC20086"/>
    <w:rsid w:val="5FDE11BA"/>
    <w:rsid w:val="605F339E"/>
    <w:rsid w:val="60811D64"/>
    <w:rsid w:val="60D435CA"/>
    <w:rsid w:val="60F021CA"/>
    <w:rsid w:val="61355E2F"/>
    <w:rsid w:val="61426274"/>
    <w:rsid w:val="61B256D1"/>
    <w:rsid w:val="61BC4533"/>
    <w:rsid w:val="61D54F1C"/>
    <w:rsid w:val="620520B1"/>
    <w:rsid w:val="620B5075"/>
    <w:rsid w:val="62373E29"/>
    <w:rsid w:val="62416711"/>
    <w:rsid w:val="625200B9"/>
    <w:rsid w:val="62D23CD8"/>
    <w:rsid w:val="62DD2E3A"/>
    <w:rsid w:val="630C44AA"/>
    <w:rsid w:val="63203B83"/>
    <w:rsid w:val="6397511C"/>
    <w:rsid w:val="63997C16"/>
    <w:rsid w:val="63AE4E03"/>
    <w:rsid w:val="64032214"/>
    <w:rsid w:val="64A77044"/>
    <w:rsid w:val="64C53E7A"/>
    <w:rsid w:val="650739A3"/>
    <w:rsid w:val="655304C9"/>
    <w:rsid w:val="65997DFD"/>
    <w:rsid w:val="660960EC"/>
    <w:rsid w:val="663757C5"/>
    <w:rsid w:val="66456167"/>
    <w:rsid w:val="66DC3975"/>
    <w:rsid w:val="66DE1F9E"/>
    <w:rsid w:val="67577A53"/>
    <w:rsid w:val="67990E87"/>
    <w:rsid w:val="687A16BB"/>
    <w:rsid w:val="68926C4D"/>
    <w:rsid w:val="68995F66"/>
    <w:rsid w:val="68B21158"/>
    <w:rsid w:val="68E3372E"/>
    <w:rsid w:val="68E91843"/>
    <w:rsid w:val="68ED3855"/>
    <w:rsid w:val="690E2DE0"/>
    <w:rsid w:val="69244CD7"/>
    <w:rsid w:val="69261C2D"/>
    <w:rsid w:val="69CA109A"/>
    <w:rsid w:val="69F83A30"/>
    <w:rsid w:val="6A6E2A3C"/>
    <w:rsid w:val="6AB97CEE"/>
    <w:rsid w:val="6AC7799F"/>
    <w:rsid w:val="6AF9635C"/>
    <w:rsid w:val="6B494055"/>
    <w:rsid w:val="6B5C59C2"/>
    <w:rsid w:val="6B813666"/>
    <w:rsid w:val="6BBF1B59"/>
    <w:rsid w:val="6C111E44"/>
    <w:rsid w:val="6C156236"/>
    <w:rsid w:val="6C2675E4"/>
    <w:rsid w:val="6C2F3C8A"/>
    <w:rsid w:val="6C4F3192"/>
    <w:rsid w:val="6C4F401C"/>
    <w:rsid w:val="6C5C4700"/>
    <w:rsid w:val="6C72049B"/>
    <w:rsid w:val="6CBA368C"/>
    <w:rsid w:val="6CBF03BF"/>
    <w:rsid w:val="6CCB006A"/>
    <w:rsid w:val="6CF22998"/>
    <w:rsid w:val="6D1F7E8A"/>
    <w:rsid w:val="6D461F34"/>
    <w:rsid w:val="6D7F7F20"/>
    <w:rsid w:val="6E3A0212"/>
    <w:rsid w:val="6E41799C"/>
    <w:rsid w:val="6E4771A1"/>
    <w:rsid w:val="6E820B51"/>
    <w:rsid w:val="6E8E5B04"/>
    <w:rsid w:val="6E9B2F85"/>
    <w:rsid w:val="6EE35334"/>
    <w:rsid w:val="6F0D345B"/>
    <w:rsid w:val="6F216D25"/>
    <w:rsid w:val="6F655B31"/>
    <w:rsid w:val="6F842065"/>
    <w:rsid w:val="6FA7776C"/>
    <w:rsid w:val="6FAA4E1E"/>
    <w:rsid w:val="6FBD7F8E"/>
    <w:rsid w:val="7006710C"/>
    <w:rsid w:val="700A492A"/>
    <w:rsid w:val="70443075"/>
    <w:rsid w:val="709F6F1C"/>
    <w:rsid w:val="70D17BE6"/>
    <w:rsid w:val="71344228"/>
    <w:rsid w:val="727668E4"/>
    <w:rsid w:val="7299205F"/>
    <w:rsid w:val="72DF4945"/>
    <w:rsid w:val="72F61EA5"/>
    <w:rsid w:val="73025CFD"/>
    <w:rsid w:val="7311772D"/>
    <w:rsid w:val="73F71F01"/>
    <w:rsid w:val="747B345E"/>
    <w:rsid w:val="749D0840"/>
    <w:rsid w:val="74EC6702"/>
    <w:rsid w:val="755034C5"/>
    <w:rsid w:val="755212D1"/>
    <w:rsid w:val="75893865"/>
    <w:rsid w:val="75C95062"/>
    <w:rsid w:val="75CD2682"/>
    <w:rsid w:val="75F776FF"/>
    <w:rsid w:val="761E0F02"/>
    <w:rsid w:val="763C3364"/>
    <w:rsid w:val="769E2D99"/>
    <w:rsid w:val="76A07DEE"/>
    <w:rsid w:val="778366F5"/>
    <w:rsid w:val="77B15493"/>
    <w:rsid w:val="77B379F2"/>
    <w:rsid w:val="77B630D3"/>
    <w:rsid w:val="78830961"/>
    <w:rsid w:val="78852686"/>
    <w:rsid w:val="78D41BC3"/>
    <w:rsid w:val="79084EA1"/>
    <w:rsid w:val="79133FEF"/>
    <w:rsid w:val="796C5667"/>
    <w:rsid w:val="79E27A58"/>
    <w:rsid w:val="79E81BD7"/>
    <w:rsid w:val="79FA77BE"/>
    <w:rsid w:val="7A25046C"/>
    <w:rsid w:val="7A3F16C5"/>
    <w:rsid w:val="7A7E12A1"/>
    <w:rsid w:val="7AAC6D0A"/>
    <w:rsid w:val="7ABD1DD5"/>
    <w:rsid w:val="7B8C3CA4"/>
    <w:rsid w:val="7B8F0147"/>
    <w:rsid w:val="7BB47F96"/>
    <w:rsid w:val="7BBD3A5B"/>
    <w:rsid w:val="7BC22EF4"/>
    <w:rsid w:val="7BE63EC5"/>
    <w:rsid w:val="7C0E14DE"/>
    <w:rsid w:val="7C324FED"/>
    <w:rsid w:val="7C3C5474"/>
    <w:rsid w:val="7CEA15A5"/>
    <w:rsid w:val="7CF562FB"/>
    <w:rsid w:val="7D6E64F9"/>
    <w:rsid w:val="7D8B57D4"/>
    <w:rsid w:val="7EFE47C5"/>
    <w:rsid w:val="7F3731B0"/>
    <w:rsid w:val="7F4B208A"/>
    <w:rsid w:val="7FBE6134"/>
    <w:rsid w:val="7FBF6398"/>
    <w:rsid w:val="7FD125D4"/>
    <w:rsid w:val="7FF86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cs="仿宋_GB2312" w:asciiTheme="minorAscii" w:hAnsiTheme="minorAscii" w:eastAsiaTheme="minorEastAsia"/>
      <w:kern w:val="2"/>
      <w:sz w:val="21"/>
      <w:szCs w:val="32"/>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4"/>
    <w:autoRedefine/>
    <w:qFormat/>
    <w:uiPriority w:val="0"/>
    <w:pPr>
      <w:widowControl/>
      <w:kinsoku w:val="0"/>
      <w:autoSpaceDE w:val="0"/>
      <w:autoSpaceDN w:val="0"/>
      <w:adjustRightInd w:val="0"/>
      <w:snapToGrid w:val="0"/>
      <w:spacing w:after="120" w:afterAutospacing="0"/>
      <w:ind w:left="420" w:leftChars="200" w:firstLine="420" w:firstLineChars="200"/>
      <w:jc w:val="left"/>
      <w:textAlignment w:val="baseline"/>
    </w:pPr>
    <w:rPr>
      <w:rFonts w:hint="default" w:ascii="Arial" w:hAnsi="Arial" w:eastAsia="宋体" w:cs="Arial"/>
      <w:color w:val="000000"/>
      <w:kern w:val="0"/>
      <w:sz w:val="22"/>
      <w:szCs w:val="22"/>
      <w:lang w:val="en-US" w:eastAsia="zh-CN" w:bidi="ar"/>
    </w:rPr>
  </w:style>
  <w:style w:type="paragraph" w:styleId="3">
    <w:name w:val="Body Text Indent"/>
    <w:basedOn w:val="1"/>
    <w:next w:val="1"/>
    <w:autoRedefine/>
    <w:unhideWhenUsed/>
    <w:qFormat/>
    <w:uiPriority w:val="0"/>
    <w:pPr>
      <w:ind w:left="420" w:leftChars="200"/>
    </w:pPr>
  </w:style>
  <w:style w:type="paragraph" w:styleId="4">
    <w:name w:val="toc 3"/>
    <w:basedOn w:val="1"/>
    <w:next w:val="1"/>
    <w:autoRedefine/>
    <w:qFormat/>
    <w:uiPriority w:val="0"/>
    <w:pPr>
      <w:ind w:left="840" w:leftChars="400"/>
    </w:pPr>
  </w:style>
  <w:style w:type="paragraph" w:styleId="5">
    <w:name w:val="Plain Text"/>
    <w:basedOn w:val="1"/>
    <w:autoRedefine/>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Times New Roman"/>
      <w:kern w:val="0"/>
      <w:sz w:val="21"/>
      <w:szCs w:val="21"/>
      <w:lang w:val="en-US" w:eastAsia="zh-CN" w:bidi="ar"/>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9203</Words>
  <Characters>9582</Characters>
  <Lines>0</Lines>
  <Paragraphs>0</Paragraphs>
  <TotalTime>32</TotalTime>
  <ScaleCrop>false</ScaleCrop>
  <LinksUpToDate>false</LinksUpToDate>
  <CharactersWithSpaces>9586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2023-02-27T07:54:00Z</dcterms:created>
  <dc:creator>稔靛绮荇</dc:creator>
  <cp:lastModifiedBy>སང་ཉིན།、</cp:lastModifiedBy>
  <cp:lastPrinted>2024-03-02T03:40:00Z</cp:lastPrinted>
  <dcterms:modified xsi:type="dcterms:W3CDTF">2024-06-12T09:44:57Z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1617BA320B4840109255035234250E71_13</vt:lpwstr>
  </property>
</Properties>
</file>